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before="120" w:after="120" w:line="240" w:lineRule="auto"/>
        <w:ind w:left="720"/>
        <w:outlineLvl w:val="1"/>
        <w:rPr>
          <w:rFonts w:ascii="Benton Modern Display It" w:eastAsia="Times New Roman" w:hAnsi="Benton Modern Display It" w:cs="Times New Roman"/>
          <w:b/>
          <w:bCs/>
          <w:color w:val="000000"/>
          <w:sz w:val="36"/>
          <w:szCs w:val="36"/>
          <w:lang w:val="en"/>
        </w:rPr>
      </w:pPr>
      <w:bookmarkStart w:id="0" w:name="_GoBack"/>
      <w:bookmarkEnd w:id="0"/>
      <w:r w:rsidRPr="00071BE3">
        <w:rPr>
          <w:rFonts w:ascii="Benton Modern Display It" w:eastAsia="Times New Roman" w:hAnsi="Benton Modern Display It" w:cs="Times New Roman"/>
          <w:b/>
          <w:bCs/>
          <w:color w:val="000000"/>
          <w:sz w:val="36"/>
          <w:szCs w:val="36"/>
          <w:lang w:val="en"/>
        </w:rPr>
        <w:t>Disciplinary committee tribunal summary of decision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384" w:line="240" w:lineRule="auto"/>
        <w:ind w:left="720"/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</w:pPr>
      <w:proofErr w:type="spellStart"/>
      <w:r w:rsidRPr="00071BE3">
        <w:rPr>
          <w:rFonts w:ascii="AvenirNextLTW02-Demi" w:eastAsia="Times New Roman" w:hAnsi="AvenirNextLTW02-Demi" w:cs="Times New Roman"/>
          <w:color w:val="4D4D4D"/>
          <w:sz w:val="24"/>
          <w:szCs w:val="24"/>
          <w:lang w:val="en"/>
        </w:rPr>
        <w:t>Auker</w:t>
      </w:r>
      <w:proofErr w:type="spellEnd"/>
      <w:r w:rsidRPr="00071BE3">
        <w:rPr>
          <w:rFonts w:ascii="AvenirNextLTW02-Demi" w:eastAsia="Times New Roman" w:hAnsi="AvenirNextLTW02-Demi" w:cs="Times New Roman"/>
          <w:color w:val="4D4D4D"/>
          <w:sz w:val="24"/>
          <w:szCs w:val="24"/>
          <w:lang w:val="en"/>
        </w:rPr>
        <w:t xml:space="preserve"> Rhodes Professional Services LLP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 xml:space="preserve"> of </w:t>
      </w:r>
      <w:proofErr w:type="spellStart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Aire</w:t>
      </w:r>
      <w:proofErr w:type="spellEnd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 xml:space="preserve"> Valley Business Centre, </w:t>
      </w:r>
      <w:proofErr w:type="spellStart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Lawkholme</w:t>
      </w:r>
      <w:proofErr w:type="spellEnd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 xml:space="preserve"> Lane, KEIGHLEY, West Yorkshire, BD21 3HW. United Kingdom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</w:r>
      <w:r w:rsidRPr="00071BE3">
        <w:rPr>
          <w:rFonts w:ascii="AvenirNextLTW02-Demi" w:eastAsia="Times New Roman" w:hAnsi="AvenirNextLTW02-Demi" w:cs="Times New Roman"/>
          <w:color w:val="4D4D4D"/>
          <w:sz w:val="24"/>
          <w:szCs w:val="24"/>
          <w:lang w:val="en"/>
        </w:rPr>
        <w:t>Type of Member: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 xml:space="preserve"> Member Firm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ind w:left="720"/>
        <w:outlineLvl w:val="2"/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</w:pPr>
      <w:r w:rsidRPr="00071BE3"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  <w:t>Terms of complaint</w:t>
      </w:r>
    </w:p>
    <w:p w:rsidR="00071BE3" w:rsidRPr="00071BE3" w:rsidRDefault="00071BE3" w:rsidP="00071BE3">
      <w:pPr>
        <w:numPr>
          <w:ilvl w:val="0"/>
          <w:numId w:val="1"/>
        </w:num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D4D4D"/>
          <w:sz w:val="24"/>
          <w:szCs w:val="24"/>
          <w:lang w:val="en"/>
        </w:rPr>
      </w:pPr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From on or after 1 July 2012 to 28 September 2015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Auker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Rhodes Professional Services LLP failed to return client money to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‘A’ despite his request for his monies to be repaid to him, contrary to regulation 20A of the Clients’ Money Regulations</w:t>
      </w:r>
    </w:p>
    <w:p w:rsidR="00071BE3" w:rsidRPr="00071BE3" w:rsidRDefault="00071BE3" w:rsidP="00071BE3">
      <w:pPr>
        <w:numPr>
          <w:ilvl w:val="0"/>
          <w:numId w:val="1"/>
        </w:num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D4D4D"/>
          <w:sz w:val="24"/>
          <w:szCs w:val="24"/>
          <w:lang w:val="en"/>
        </w:rPr>
      </w:pPr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Between 15 March 2012 and 31 July 2012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Auker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Rhodes Professional Services LLP failed to hold client money in excess of £10,000 in separate designated client money accounts, contrary to Regulation 13 of the Clients’ Money Regulations.</w:t>
      </w:r>
    </w:p>
    <w:p w:rsidR="00071BE3" w:rsidRPr="00071BE3" w:rsidRDefault="00071BE3" w:rsidP="00071BE3">
      <w:pPr>
        <w:numPr>
          <w:ilvl w:val="0"/>
          <w:numId w:val="1"/>
        </w:num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D4D4D"/>
          <w:sz w:val="24"/>
          <w:szCs w:val="24"/>
          <w:lang w:val="en"/>
        </w:rPr>
      </w:pPr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On 31 July 2012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Auker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Rhodes Professional Services LLP failed to comply with regulation 20h of the Clients’ Money Regulations as the firm withdrew £88,030 from the general client bank account using funds held for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‘A’ (£27,283),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‘B’ (£31,256) and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‘C’ (£29,491), to pay for invoices due from ‘D’ Ltd and ‘E’ LLP without written authority from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‘A’,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‘B’ or </w:t>
      </w:r>
      <w:proofErr w:type="spellStart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>Mr</w:t>
      </w:r>
      <w:proofErr w:type="spellEnd"/>
      <w:r w:rsidRPr="00071BE3">
        <w:rPr>
          <w:rFonts w:ascii="inherit" w:eastAsia="Times New Roman" w:hAnsi="inherit" w:cs="Times New Roman"/>
          <w:color w:val="4D4D4D"/>
          <w:sz w:val="24"/>
          <w:szCs w:val="24"/>
          <w:lang w:val="en"/>
        </w:rPr>
        <w:t xml:space="preserve"> ‘C’ to use those funds.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384" w:line="240" w:lineRule="auto"/>
        <w:ind w:left="720"/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</w:pPr>
      <w:proofErr w:type="spellStart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Auker</w:t>
      </w:r>
      <w:proofErr w:type="spellEnd"/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 xml:space="preserve"> Rhodes Professional Services LLP is therefore liable to disciplinary action under Disciplinary Bye-law 5.1c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ind w:left="720"/>
        <w:outlineLvl w:val="2"/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</w:pPr>
      <w:r w:rsidRPr="00071BE3"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  <w:t>Hearing date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384" w:line="240" w:lineRule="auto"/>
        <w:ind w:left="720"/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</w:pP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16-18 October 2018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ind w:left="720"/>
        <w:outlineLvl w:val="2"/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</w:pPr>
      <w:r w:rsidRPr="00071BE3"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  <w:t>Finding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384" w:line="240" w:lineRule="auto"/>
        <w:ind w:left="720"/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</w:pP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Complaint 1 - Proved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  <w:t>Complaint 2 - Proved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  <w:t>Complaint 3 - Proved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0" w:line="240" w:lineRule="auto"/>
        <w:ind w:left="720"/>
        <w:outlineLvl w:val="2"/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</w:pPr>
      <w:r w:rsidRPr="00071BE3">
        <w:rPr>
          <w:rFonts w:ascii="AvenirNextLTW02-Bold" w:eastAsia="Times New Roman" w:hAnsi="AvenirNextLTW02-Bold" w:cs="Times New Roman"/>
          <w:color w:val="4D4D4D"/>
          <w:sz w:val="27"/>
          <w:szCs w:val="27"/>
          <w:lang w:val="en"/>
        </w:rPr>
        <w:t>Order</w:t>
      </w:r>
    </w:p>
    <w:p w:rsidR="00071BE3" w:rsidRPr="00071BE3" w:rsidRDefault="00071BE3" w:rsidP="00071BE3">
      <w:pPr>
        <w:pBdr>
          <w:left w:val="single" w:sz="6" w:space="12" w:color="E6E6E6"/>
          <w:bottom w:val="single" w:sz="6" w:space="12" w:color="E6E6E6"/>
          <w:right w:val="single" w:sz="6" w:space="12" w:color="E6E6E6"/>
        </w:pBdr>
        <w:shd w:val="clear" w:color="auto" w:fill="FFFFFF"/>
        <w:spacing w:after="384" w:line="240" w:lineRule="auto"/>
        <w:ind w:left="720"/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</w:pPr>
      <w:r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R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t>eprimand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  <w:t>Costs of £14,930.00</w:t>
      </w:r>
      <w:r w:rsidRPr="00071BE3">
        <w:rPr>
          <w:rFonts w:ascii="AvenirNextLTW02-Regular" w:eastAsia="Times New Roman" w:hAnsi="AvenirNextLTW02-Regular" w:cs="Times New Roman"/>
          <w:color w:val="4D4D4D"/>
          <w:sz w:val="24"/>
          <w:szCs w:val="24"/>
          <w:lang w:val="en"/>
        </w:rPr>
        <w:br/>
        <w:t>Fine of £5,000.00</w:t>
      </w:r>
    </w:p>
    <w:p w:rsidR="001C7F00" w:rsidRPr="00071BE3" w:rsidRDefault="001C7F00">
      <w:pPr>
        <w:rPr>
          <w:lang w:val="en"/>
        </w:rPr>
      </w:pPr>
    </w:p>
    <w:sectPr w:rsidR="001C7F00" w:rsidRPr="0007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 Modern Display It">
    <w:altName w:val="Times New Roman"/>
    <w:charset w:val="00"/>
    <w:family w:val="auto"/>
    <w:pitch w:val="default"/>
  </w:font>
  <w:font w:name="AvenirNextLTW02-Regular">
    <w:altName w:val="Times New Roman"/>
    <w:charset w:val="00"/>
    <w:family w:val="auto"/>
    <w:pitch w:val="default"/>
  </w:font>
  <w:font w:name="AvenirNextLTW02-Demi">
    <w:altName w:val="Times New Roman"/>
    <w:charset w:val="00"/>
    <w:family w:val="auto"/>
    <w:pitch w:val="default"/>
  </w:font>
  <w:font w:name="AvenirNextLTW02-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96D98"/>
    <w:multiLevelType w:val="multilevel"/>
    <w:tmpl w:val="7628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E3"/>
    <w:rsid w:val="00071BE3"/>
    <w:rsid w:val="001C7F00"/>
    <w:rsid w:val="00C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CA783-B9FA-487B-A56A-EF4ABC2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Waller</dc:creator>
  <cp:keywords/>
  <dc:description/>
  <cp:lastModifiedBy>Wendy Ansley</cp:lastModifiedBy>
  <cp:revision>2</cp:revision>
  <dcterms:created xsi:type="dcterms:W3CDTF">2018-10-22T15:44:00Z</dcterms:created>
  <dcterms:modified xsi:type="dcterms:W3CDTF">2018-10-22T15:44:00Z</dcterms:modified>
</cp:coreProperties>
</file>