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B0FE" w14:textId="77777777" w:rsidR="009F7766" w:rsidRDefault="009F7766" w:rsidP="004D30D6">
      <w:pPr>
        <w:sectPr w:rsidR="009F7766" w:rsidSect="002F54B6">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134" w:header="284" w:footer="510" w:gutter="0"/>
          <w:cols w:space="720"/>
        </w:sectPr>
      </w:pPr>
    </w:p>
    <w:p w14:paraId="124CD240" w14:textId="31A81A0D" w:rsidR="00170447" w:rsidRDefault="00762E4F" w:rsidP="00FF5610">
      <w:pPr>
        <w:pStyle w:val="Title"/>
        <w:spacing w:before="0"/>
      </w:pPr>
      <w:r>
        <w:t xml:space="preserve">Audit </w:t>
      </w:r>
      <w:r w:rsidR="00E8485A">
        <w:t>Committee</w:t>
      </w:r>
    </w:p>
    <w:p w14:paraId="282A89CA" w14:textId="1CA10442" w:rsidR="00170447" w:rsidRDefault="00E8485A" w:rsidP="00170447">
      <w:pPr>
        <w:pStyle w:val="Heading2"/>
      </w:pPr>
      <w:r>
        <w:t>terms of reference</w:t>
      </w:r>
      <w:r w:rsidR="005B673C">
        <w:t xml:space="preserve"> </w:t>
      </w:r>
      <w:r w:rsidR="00603223">
        <w:t xml:space="preserve"> </w:t>
      </w:r>
    </w:p>
    <w:p w14:paraId="02F4C821" w14:textId="146ECEFD" w:rsidR="00E8485A" w:rsidRDefault="005B673C" w:rsidP="00E8485A">
      <w:pPr>
        <w:pStyle w:val="Heading3"/>
      </w:pPr>
      <w:r>
        <w:t xml:space="preserve">Purpose and </w:t>
      </w:r>
      <w:r w:rsidR="00E8485A">
        <w:t>Accountability</w:t>
      </w:r>
    </w:p>
    <w:p w14:paraId="277CDE04" w14:textId="77777777" w:rsidR="0018170C" w:rsidRDefault="005B673C" w:rsidP="005B673C">
      <w:pPr>
        <w:pStyle w:val="BodyText"/>
        <w:numPr>
          <w:ilvl w:val="0"/>
          <w:numId w:val="41"/>
        </w:numPr>
        <w:spacing w:after="120"/>
      </w:pPr>
      <w:r>
        <w:t xml:space="preserve">The </w:t>
      </w:r>
      <w:r w:rsidR="0018170C">
        <w:t xml:space="preserve">Audit </w:t>
      </w:r>
      <w:r>
        <w:t xml:space="preserve">Committee </w:t>
      </w:r>
      <w:r w:rsidR="00937C61">
        <w:t>has delegated responsibility</w:t>
      </w:r>
      <w:r w:rsidR="0018170C">
        <w:t>:</w:t>
      </w:r>
      <w:r w:rsidR="00CF2EF9">
        <w:t xml:space="preserve"> </w:t>
      </w:r>
    </w:p>
    <w:p w14:paraId="6DF74FF4" w14:textId="65C3924C" w:rsidR="005B673C" w:rsidRDefault="0018170C">
      <w:pPr>
        <w:pStyle w:val="BodyText"/>
        <w:numPr>
          <w:ilvl w:val="1"/>
          <w:numId w:val="41"/>
        </w:numPr>
        <w:spacing w:after="120"/>
      </w:pPr>
      <w:r>
        <w:t>t</w:t>
      </w:r>
      <w:r w:rsidR="00762E4F">
        <w:t>o monitor the integrity of the ICAEW's financial reporting, including supporting the Board and Council in meeting its responsibilities regarding financial statements, financial reporting systems and controls;</w:t>
      </w:r>
    </w:p>
    <w:p w14:paraId="778658CD" w14:textId="668E285D" w:rsidR="00762E4F" w:rsidRDefault="0018170C">
      <w:pPr>
        <w:pStyle w:val="BodyText"/>
        <w:numPr>
          <w:ilvl w:val="1"/>
          <w:numId w:val="41"/>
        </w:numPr>
        <w:spacing w:after="120"/>
      </w:pPr>
      <w:r>
        <w:t>t</w:t>
      </w:r>
      <w:r w:rsidR="00762E4F">
        <w:t>o monitor the integrity of ICAEW's annual report and group accounts, including providing oversight and assurance to the Directors of each subsidiary account;</w:t>
      </w:r>
    </w:p>
    <w:p w14:paraId="2460D9A1" w14:textId="1BBA9E4C" w:rsidR="00762E4F" w:rsidRDefault="0018170C">
      <w:pPr>
        <w:pStyle w:val="BodyText"/>
        <w:numPr>
          <w:ilvl w:val="1"/>
          <w:numId w:val="41"/>
        </w:numPr>
        <w:spacing w:after="120"/>
      </w:pPr>
      <w:bookmarkStart w:id="0" w:name="_Hlk189056701"/>
      <w:bookmarkStart w:id="1" w:name="_Hlk189056836"/>
      <w:r>
        <w:t>t</w:t>
      </w:r>
      <w:r w:rsidR="00762E4F">
        <w:t>o Review internal financial controls and the internal control and risk management systems;</w:t>
      </w:r>
    </w:p>
    <w:bookmarkEnd w:id="0"/>
    <w:p w14:paraId="32E1B744" w14:textId="5475DC33" w:rsidR="00634DAB" w:rsidRDefault="0018170C" w:rsidP="0018170C">
      <w:pPr>
        <w:pStyle w:val="BodyText"/>
        <w:numPr>
          <w:ilvl w:val="1"/>
          <w:numId w:val="41"/>
        </w:numPr>
        <w:spacing w:after="120"/>
      </w:pPr>
      <w:r>
        <w:t>t</w:t>
      </w:r>
      <w:r w:rsidR="00762E4F">
        <w:t xml:space="preserve">o </w:t>
      </w:r>
      <w:r w:rsidR="009E4F34">
        <w:t>m</w:t>
      </w:r>
      <w:r w:rsidR="00762E4F">
        <w:t>onitor the effectiveness and objectivity of the external and internal audit function;</w:t>
      </w:r>
    </w:p>
    <w:bookmarkEnd w:id="1"/>
    <w:p w14:paraId="5BD95A1A" w14:textId="39324582" w:rsidR="0018170C" w:rsidRDefault="0018170C" w:rsidP="0018170C">
      <w:pPr>
        <w:pStyle w:val="BodyText"/>
        <w:numPr>
          <w:ilvl w:val="1"/>
          <w:numId w:val="41"/>
        </w:numPr>
        <w:spacing w:after="120"/>
      </w:pPr>
      <w:r>
        <w:t>to make recommendations in relation to the appointment of the external auditor and to monitor their independence and objectivity; and</w:t>
      </w:r>
    </w:p>
    <w:p w14:paraId="3892C405" w14:textId="18AFD5C6" w:rsidR="000824EE" w:rsidRDefault="0018170C">
      <w:pPr>
        <w:pStyle w:val="BodyText"/>
        <w:numPr>
          <w:ilvl w:val="1"/>
          <w:numId w:val="41"/>
        </w:numPr>
        <w:spacing w:after="120"/>
      </w:pPr>
      <w:r>
        <w:t>t</w:t>
      </w:r>
      <w:r w:rsidR="000824EE">
        <w:t>o assess, on behalf of the Board, the effectiveness of ICAEW's key controls framework.</w:t>
      </w:r>
    </w:p>
    <w:p w14:paraId="03AE40E1" w14:textId="25E0641D" w:rsidR="00E8485A" w:rsidRDefault="00E8485A" w:rsidP="005B673C">
      <w:pPr>
        <w:pStyle w:val="BodyText"/>
        <w:numPr>
          <w:ilvl w:val="0"/>
          <w:numId w:val="41"/>
        </w:numPr>
        <w:spacing w:after="120"/>
      </w:pPr>
      <w:r>
        <w:t xml:space="preserve">The </w:t>
      </w:r>
      <w:r w:rsidR="00762E4F">
        <w:t xml:space="preserve">Audit </w:t>
      </w:r>
      <w:r>
        <w:t>Committee is accountable to ICAEW Board.</w:t>
      </w:r>
    </w:p>
    <w:p w14:paraId="76778EDE" w14:textId="03DAED19" w:rsidR="000824EE" w:rsidRDefault="000824EE" w:rsidP="005B673C">
      <w:pPr>
        <w:pStyle w:val="BodyText"/>
        <w:numPr>
          <w:ilvl w:val="0"/>
          <w:numId w:val="41"/>
        </w:numPr>
        <w:spacing w:after="120"/>
      </w:pPr>
      <w:r>
        <w:t>The Committee has authority to investigate any matter of relevance within its terms of Reference.</w:t>
      </w:r>
    </w:p>
    <w:p w14:paraId="20D067E2" w14:textId="77777777" w:rsidR="00D72B16" w:rsidRDefault="00D72B16" w:rsidP="00D72B16">
      <w:pPr>
        <w:pStyle w:val="BodyText"/>
        <w:ind w:left="360"/>
      </w:pPr>
    </w:p>
    <w:p w14:paraId="74C755DA" w14:textId="77777777" w:rsidR="00695392" w:rsidRDefault="00E8485A" w:rsidP="00695392">
      <w:pPr>
        <w:pStyle w:val="Heading3"/>
      </w:pPr>
      <w:r>
        <w:t>Composition</w:t>
      </w:r>
    </w:p>
    <w:p w14:paraId="04FF4250" w14:textId="39856239" w:rsidR="009129A9" w:rsidRDefault="00695392" w:rsidP="009129A9">
      <w:pPr>
        <w:pStyle w:val="BodyText"/>
        <w:numPr>
          <w:ilvl w:val="0"/>
          <w:numId w:val="41"/>
        </w:numPr>
        <w:spacing w:after="120"/>
      </w:pPr>
      <w:r>
        <w:t>The Committee comprises up to five members, appointed on the basis of their skills and expertise.</w:t>
      </w:r>
    </w:p>
    <w:p w14:paraId="5AFC6D05" w14:textId="3760E5E9" w:rsidR="009129A9" w:rsidRDefault="009129A9" w:rsidP="009129A9">
      <w:pPr>
        <w:pStyle w:val="BodyText"/>
        <w:numPr>
          <w:ilvl w:val="0"/>
          <w:numId w:val="41"/>
        </w:numPr>
        <w:spacing w:after="120"/>
      </w:pPr>
      <w:bookmarkStart w:id="2" w:name="_Hlk188456450"/>
      <w:r>
        <w:t>The majority of the members of the Committee must be non-executive members of the ICAEW Board.</w:t>
      </w:r>
      <w:bookmarkStart w:id="3" w:name="_Hlk188456650"/>
      <w:r w:rsidR="00883F4D">
        <w:t xml:space="preserve"> The Chair of the Board may not be a member of the Committee. </w:t>
      </w:r>
      <w:bookmarkEnd w:id="3"/>
    </w:p>
    <w:p w14:paraId="06AFFF2D" w14:textId="1EA90FE9" w:rsidR="008B1D9E" w:rsidRDefault="008B1D9E" w:rsidP="005B673C">
      <w:pPr>
        <w:pStyle w:val="BodyText"/>
        <w:numPr>
          <w:ilvl w:val="0"/>
          <w:numId w:val="41"/>
        </w:numPr>
        <w:spacing w:after="120"/>
      </w:pPr>
      <w:r>
        <w:t xml:space="preserve">The Chair of the Committee is a member of ICAEW Board. </w:t>
      </w:r>
      <w:r w:rsidR="00883F4D">
        <w:t xml:space="preserve">The </w:t>
      </w:r>
      <w:r>
        <w:t xml:space="preserve"> President may </w:t>
      </w:r>
      <w:r w:rsidR="00883F4D">
        <w:t xml:space="preserve">not  </w:t>
      </w:r>
      <w:r>
        <w:t xml:space="preserve">chair the Committee. </w:t>
      </w:r>
    </w:p>
    <w:bookmarkEnd w:id="2"/>
    <w:p w14:paraId="065F286C" w14:textId="77777777" w:rsidR="009A00B3" w:rsidRDefault="009A00B3" w:rsidP="009A00B3">
      <w:pPr>
        <w:pStyle w:val="BodyText"/>
        <w:numPr>
          <w:ilvl w:val="0"/>
          <w:numId w:val="41"/>
        </w:numPr>
        <w:spacing w:after="120"/>
      </w:pPr>
      <w:r>
        <w:t>No member of ICAEW staff may be a member of the Committee.</w:t>
      </w:r>
    </w:p>
    <w:p w14:paraId="271EF858" w14:textId="6C97E437" w:rsidR="009129A9" w:rsidRDefault="009129A9" w:rsidP="009A00B3">
      <w:pPr>
        <w:pStyle w:val="BodyText"/>
        <w:numPr>
          <w:ilvl w:val="0"/>
          <w:numId w:val="41"/>
        </w:numPr>
        <w:spacing w:after="120"/>
      </w:pPr>
      <w:r>
        <w:t>No members of the Committee may also be members of the ICAEW Council concurrently, except for the President.</w:t>
      </w:r>
    </w:p>
    <w:p w14:paraId="63F0B4FA" w14:textId="309A926F" w:rsidR="00385631" w:rsidRDefault="00C233A4" w:rsidP="009A00B3">
      <w:pPr>
        <w:pStyle w:val="BodyText"/>
        <w:numPr>
          <w:ilvl w:val="0"/>
          <w:numId w:val="41"/>
        </w:numPr>
        <w:spacing w:after="120"/>
      </w:pPr>
      <w:r w:rsidRPr="000914DB">
        <w:t>Appointments to the Committee are approved</w:t>
      </w:r>
      <w:r>
        <w:t xml:space="preserve"> by the Board on recommendation of the Board Nomination Committee and reported to the Governance and Appointments Committee</w:t>
      </w:r>
      <w:r w:rsidRPr="000914DB" w:rsidDel="00C233A4">
        <w:t xml:space="preserve"> </w:t>
      </w:r>
    </w:p>
    <w:p w14:paraId="479098B6" w14:textId="1A4D22BD" w:rsidR="007C7DA6" w:rsidRPr="000914DB" w:rsidRDefault="007C7DA6" w:rsidP="009A00B3">
      <w:pPr>
        <w:pStyle w:val="BodyText"/>
        <w:numPr>
          <w:ilvl w:val="0"/>
          <w:numId w:val="41"/>
        </w:numPr>
        <w:spacing w:after="120"/>
      </w:pPr>
      <w:r w:rsidRPr="000914DB">
        <w:t>The term of office is</w:t>
      </w:r>
      <w:r w:rsidR="00385631">
        <w:t xml:space="preserve"> up to</w:t>
      </w:r>
      <w:r w:rsidRPr="000914DB">
        <w:t xml:space="preserve"> three years, renewable once</w:t>
      </w:r>
      <w:r w:rsidR="00385631">
        <w:t xml:space="preserve"> </w:t>
      </w:r>
      <w:r w:rsidR="00C233A4" w:rsidRPr="00C233A4">
        <w:t xml:space="preserve">and for a third term </w:t>
      </w:r>
      <w:r w:rsidR="001222B0" w:rsidRPr="000914DB">
        <w:t>in exceptional circumstances</w:t>
      </w:r>
      <w:r w:rsidR="00237779">
        <w:t>.</w:t>
      </w:r>
    </w:p>
    <w:p w14:paraId="3311E8AF" w14:textId="283274C5" w:rsidR="009E5FAA" w:rsidRPr="004E676A" w:rsidRDefault="009E5FAA" w:rsidP="009A00B3">
      <w:pPr>
        <w:pStyle w:val="BodyText"/>
        <w:numPr>
          <w:ilvl w:val="0"/>
          <w:numId w:val="41"/>
        </w:numPr>
        <w:spacing w:after="120"/>
      </w:pPr>
      <w:r w:rsidRPr="00912C7F">
        <w:t>The quorum is three</w:t>
      </w:r>
      <w:r w:rsidR="00237779">
        <w:t xml:space="preserve"> with a non-executive board member majority.</w:t>
      </w:r>
    </w:p>
    <w:p w14:paraId="22D8EA39" w14:textId="77777777" w:rsidR="00D72B16" w:rsidRDefault="00D72B16" w:rsidP="00D72B16">
      <w:pPr>
        <w:pStyle w:val="Heading3"/>
        <w:spacing w:after="0"/>
      </w:pPr>
    </w:p>
    <w:p w14:paraId="3809CD48" w14:textId="77777777" w:rsidR="00C233A4" w:rsidRDefault="00C233A4" w:rsidP="00C233A4"/>
    <w:p w14:paraId="79ECE2BF" w14:textId="77777777" w:rsidR="00C233A4" w:rsidRPr="00C233A4" w:rsidRDefault="00C233A4" w:rsidP="00C233A4"/>
    <w:p w14:paraId="1C236468" w14:textId="470EEE4D" w:rsidR="00E8485A" w:rsidRDefault="00E8485A" w:rsidP="00E8485A">
      <w:pPr>
        <w:pStyle w:val="Heading3"/>
      </w:pPr>
      <w:r>
        <w:lastRenderedPageBreak/>
        <w:t>Powers and Authorities</w:t>
      </w:r>
      <w:r>
        <w:tab/>
      </w:r>
    </w:p>
    <w:p w14:paraId="14CFBC35" w14:textId="4E7A3B66" w:rsidR="00E8485A" w:rsidRDefault="00E8485A" w:rsidP="005B673C">
      <w:pPr>
        <w:pStyle w:val="BodyText"/>
        <w:numPr>
          <w:ilvl w:val="0"/>
          <w:numId w:val="41"/>
        </w:numPr>
        <w:spacing w:after="120"/>
      </w:pPr>
      <w:r>
        <w:t xml:space="preserve">The Committee </w:t>
      </w:r>
      <w:r w:rsidR="007C2309">
        <w:t>has the following specific powers, responsibilities and authorities</w:t>
      </w:r>
      <w:r w:rsidR="00391BD8">
        <w:t xml:space="preserve"> delegated by the Board</w:t>
      </w:r>
      <w:r w:rsidR="007C2309">
        <w:t>:</w:t>
      </w:r>
    </w:p>
    <w:p w14:paraId="66373D84" w14:textId="44F41A5B" w:rsidR="00DC16F2" w:rsidRDefault="00DC16F2" w:rsidP="00DC16F2">
      <w:pPr>
        <w:pStyle w:val="ListParagraph"/>
        <w:numPr>
          <w:ilvl w:val="1"/>
          <w:numId w:val="41"/>
        </w:numPr>
      </w:pPr>
      <w:r>
        <w:t>for oversight, assessment and review of the functions set out in these terms of reference.</w:t>
      </w:r>
    </w:p>
    <w:p w14:paraId="703FDAD3" w14:textId="49C06EDC" w:rsidR="00DC16F2" w:rsidRDefault="00DC16F2" w:rsidP="00DC16F2">
      <w:pPr>
        <w:pStyle w:val="ListParagraph"/>
        <w:numPr>
          <w:ilvl w:val="1"/>
          <w:numId w:val="41"/>
        </w:numPr>
      </w:pPr>
      <w:r>
        <w:t>authority to seek information from any ICAEW employee and any ICAEW ‘active member’</w:t>
      </w:r>
      <w:r w:rsidR="0076000B">
        <w:rPr>
          <w:rStyle w:val="FootnoteReference"/>
        </w:rPr>
        <w:footnoteReference w:id="2"/>
      </w:r>
      <w:r>
        <w:t>, who shall comply with any such request.</w:t>
      </w:r>
    </w:p>
    <w:p w14:paraId="5CBAC3BE" w14:textId="77777777" w:rsidR="00DC16F2" w:rsidRDefault="00DC16F2" w:rsidP="00DC16F2">
      <w:pPr>
        <w:pStyle w:val="ListParagraph"/>
        <w:tabs>
          <w:tab w:val="left" w:pos="-720"/>
          <w:tab w:val="left" w:pos="0"/>
        </w:tabs>
        <w:suppressAutoHyphens/>
        <w:spacing w:after="120"/>
        <w:ind w:left="840"/>
      </w:pPr>
    </w:p>
    <w:p w14:paraId="03F429DE" w14:textId="79D7F729" w:rsidR="00DC16F2" w:rsidRDefault="00DC16F2" w:rsidP="00DC16F2">
      <w:pPr>
        <w:pStyle w:val="ListParagraph"/>
        <w:numPr>
          <w:ilvl w:val="0"/>
          <w:numId w:val="41"/>
        </w:numPr>
      </w:pPr>
      <w:r>
        <w:t>The main role and responsibilities of the Committee include (see appendix 1 for further detail):</w:t>
      </w:r>
    </w:p>
    <w:p w14:paraId="48F6D4F5" w14:textId="70E1CD65" w:rsidR="00DC16F2" w:rsidRDefault="00DC16F2" w:rsidP="00DC16F2">
      <w:pPr>
        <w:pStyle w:val="ListParagraph"/>
        <w:numPr>
          <w:ilvl w:val="1"/>
          <w:numId w:val="41"/>
        </w:numPr>
      </w:pPr>
      <w:r>
        <w:t>monitoring the integrity of the ICAEW annual report and accounts, and reviewing significant financial reporting judgements contained in them</w:t>
      </w:r>
      <w:r w:rsidR="00533D06">
        <w:t>;</w:t>
      </w:r>
    </w:p>
    <w:p w14:paraId="40549465" w14:textId="73E6D47C" w:rsidR="00DC16F2" w:rsidRDefault="00DC16F2" w:rsidP="00DC16F2">
      <w:pPr>
        <w:pStyle w:val="ListParagraph"/>
        <w:numPr>
          <w:ilvl w:val="1"/>
          <w:numId w:val="41"/>
        </w:numPr>
      </w:pPr>
      <w:r>
        <w:t>reviewing ICAEW’s internal financial controls and key risk control controls (based on ICAEW risk register)</w:t>
      </w:r>
      <w:r w:rsidR="00533D06">
        <w:t>;</w:t>
      </w:r>
    </w:p>
    <w:p w14:paraId="07CDB4EC" w14:textId="5070AD75" w:rsidR="00DC16F2" w:rsidRDefault="00DC16F2" w:rsidP="00DC16F2">
      <w:pPr>
        <w:pStyle w:val="ListParagraph"/>
        <w:numPr>
          <w:ilvl w:val="1"/>
          <w:numId w:val="41"/>
        </w:numPr>
      </w:pPr>
      <w:r>
        <w:t>monitoring and reviewing the effectiveness of the ICAEW internal audit function</w:t>
      </w:r>
      <w:r w:rsidR="00533D06">
        <w:t>;</w:t>
      </w:r>
    </w:p>
    <w:p w14:paraId="79A2671F" w14:textId="2B5D88E5" w:rsidR="00DC16F2" w:rsidRDefault="00DC16F2" w:rsidP="00DC16F2">
      <w:pPr>
        <w:pStyle w:val="ListParagraph"/>
        <w:numPr>
          <w:ilvl w:val="1"/>
          <w:numId w:val="41"/>
        </w:numPr>
      </w:pPr>
      <w:r>
        <w:t>making recommendations to the Board in relation to the appointment of the external auditor for the Board to put to Council and then the members for approval at the ICAEW annual meeting, and in relation to the remuneration and terms of engagement of the external auditor</w:t>
      </w:r>
      <w:r w:rsidR="00533D06">
        <w:t>;</w:t>
      </w:r>
    </w:p>
    <w:p w14:paraId="665B029A" w14:textId="33519E98" w:rsidR="00DC16F2" w:rsidRDefault="00DC16F2" w:rsidP="00DC16F2">
      <w:pPr>
        <w:pStyle w:val="ListParagraph"/>
        <w:numPr>
          <w:ilvl w:val="1"/>
          <w:numId w:val="41"/>
        </w:numPr>
      </w:pPr>
      <w:r>
        <w:t>reviewing and monitoring the external auditor’s independence and objectivity and the effectiveness of the audit process, taking into consideration relevant UK professional and regulatory requirements</w:t>
      </w:r>
      <w:r w:rsidR="00533D06">
        <w:t>; and</w:t>
      </w:r>
    </w:p>
    <w:p w14:paraId="4C7FAEFA" w14:textId="77777777" w:rsidR="00DC16F2" w:rsidRDefault="00DC16F2" w:rsidP="00DC16F2">
      <w:pPr>
        <w:pStyle w:val="ListParagraph"/>
        <w:numPr>
          <w:ilvl w:val="1"/>
          <w:numId w:val="41"/>
        </w:numPr>
      </w:pPr>
      <w:r>
        <w:t>developing and implementing policy on the engagement of the external auditor to supply non-audit services, considering relevant ethical guidance regarding the provision of non-audit services by the external audit firm; and to report to the Board, identifying any matters in respect of which it considers that action or improvement is needed, and making recommendations as to the steps to be taken.</w:t>
      </w:r>
    </w:p>
    <w:p w14:paraId="2DCE5E8B" w14:textId="77777777" w:rsidR="002A18A8" w:rsidRPr="002A18A8" w:rsidRDefault="002A18A8">
      <w:pPr>
        <w:pStyle w:val="BodyText"/>
        <w:rPr>
          <w:bCs/>
        </w:rPr>
      </w:pPr>
    </w:p>
    <w:p w14:paraId="3A4A6AF0" w14:textId="2CEA64A2" w:rsidR="00350D17" w:rsidRDefault="00350D17" w:rsidP="00E8485A">
      <w:pPr>
        <w:pStyle w:val="Heading3"/>
      </w:pPr>
      <w:r>
        <w:t xml:space="preserve">Governance Matters </w:t>
      </w:r>
    </w:p>
    <w:p w14:paraId="008722FB" w14:textId="07E93F59" w:rsidR="00350D17" w:rsidRDefault="00350D17" w:rsidP="00B64E7A">
      <w:pPr>
        <w:pStyle w:val="ListParagraph"/>
        <w:numPr>
          <w:ilvl w:val="0"/>
          <w:numId w:val="41"/>
        </w:numPr>
        <w:spacing w:after="120"/>
      </w:pPr>
      <w:r>
        <w:t xml:space="preserve">The Committee’s </w:t>
      </w:r>
      <w:r w:rsidRPr="00350D17">
        <w:t xml:space="preserve">terms of reference and any subsequent changes are developed and reviewed </w:t>
      </w:r>
      <w:r w:rsidR="00525DBA">
        <w:t xml:space="preserve">once a year </w:t>
      </w:r>
      <w:r w:rsidRPr="00350D17">
        <w:t xml:space="preserve">by the Committee and then approved </w:t>
      </w:r>
      <w:r>
        <w:t xml:space="preserve">by </w:t>
      </w:r>
      <w:r w:rsidRPr="00350D17">
        <w:t>ICAEW Board.</w:t>
      </w:r>
    </w:p>
    <w:p w14:paraId="6816B5C0" w14:textId="5B7E02D0" w:rsidR="002A18A8" w:rsidRDefault="00350D17" w:rsidP="002A18A8">
      <w:pPr>
        <w:pStyle w:val="ListParagraph"/>
        <w:numPr>
          <w:ilvl w:val="0"/>
          <w:numId w:val="41"/>
        </w:numPr>
        <w:spacing w:after="120"/>
      </w:pPr>
      <w:bookmarkStart w:id="4" w:name="_Hlk189057434"/>
      <w:r>
        <w:t>The Committee regularly evaluates its own performance</w:t>
      </w:r>
      <w:r w:rsidR="00EB3D40">
        <w:t xml:space="preserve"> </w:t>
      </w:r>
      <w:r w:rsidRPr="00EB3D40">
        <w:t>and reports</w:t>
      </w:r>
      <w:r w:rsidR="00EB3D40" w:rsidRPr="00EB3D40">
        <w:t xml:space="preserve"> on this</w:t>
      </w:r>
      <w:r w:rsidRPr="00EB3D40">
        <w:t xml:space="preserve"> to ICAEW Board.</w:t>
      </w:r>
      <w:r>
        <w:t xml:space="preserve"> </w:t>
      </w:r>
    </w:p>
    <w:bookmarkEnd w:id="4"/>
    <w:p w14:paraId="7220906E" w14:textId="3CA2122D" w:rsidR="00DC16F2" w:rsidRDefault="00DC16F2" w:rsidP="002A18A8">
      <w:pPr>
        <w:pStyle w:val="ListParagraph"/>
        <w:numPr>
          <w:ilvl w:val="0"/>
          <w:numId w:val="41"/>
        </w:numPr>
        <w:spacing w:after="120"/>
      </w:pPr>
      <w:r>
        <w:t xml:space="preserve">The Committee will receive updates from the Chair following briefings from the Chair of the Risk Committee to </w:t>
      </w:r>
      <w:r w:rsidR="00E85671">
        <w:t>e</w:t>
      </w:r>
      <w:r>
        <w:t>nsure Internal Audit and key risks are monitored and vice versa.</w:t>
      </w:r>
    </w:p>
    <w:p w14:paraId="73843CE3" w14:textId="77777777" w:rsidR="002A18A8" w:rsidRPr="00350D17" w:rsidRDefault="002A18A8" w:rsidP="002A18A8">
      <w:pPr>
        <w:pStyle w:val="ListParagraph"/>
        <w:ind w:left="360"/>
      </w:pPr>
    </w:p>
    <w:p w14:paraId="165013FC" w14:textId="1E6C42C6" w:rsidR="00E8485A" w:rsidRDefault="00E8485A" w:rsidP="00E8485A">
      <w:pPr>
        <w:pStyle w:val="Heading3"/>
      </w:pPr>
      <w:r>
        <w:t>Operation of the Committee</w:t>
      </w:r>
    </w:p>
    <w:p w14:paraId="53920486" w14:textId="77777777" w:rsidR="00695392" w:rsidRDefault="00350D17">
      <w:pPr>
        <w:pStyle w:val="ListParagraph"/>
        <w:numPr>
          <w:ilvl w:val="0"/>
          <w:numId w:val="41"/>
        </w:numPr>
        <w:spacing w:after="120"/>
      </w:pPr>
      <w:r>
        <w:t>The Chair of the Committee will report to ICAEW Board on how the Committee is discharging its duties</w:t>
      </w:r>
      <w:r w:rsidR="003C2A34">
        <w:t xml:space="preserve"> including:</w:t>
      </w:r>
    </w:p>
    <w:p w14:paraId="4B6B54E6" w14:textId="7AC0DAAC" w:rsidR="003C2A34" w:rsidRDefault="003C2A34">
      <w:pPr>
        <w:pStyle w:val="ListParagraph"/>
        <w:numPr>
          <w:ilvl w:val="1"/>
          <w:numId w:val="41"/>
        </w:numPr>
        <w:spacing w:after="120"/>
      </w:pPr>
      <w:r>
        <w:t>the significant issues that it considered in relation to the financial statements and how these issues were addressed;</w:t>
      </w:r>
    </w:p>
    <w:p w14:paraId="6FA4DC36" w14:textId="77777777" w:rsidR="003C2A34" w:rsidRDefault="003C2A34">
      <w:pPr>
        <w:pStyle w:val="ListParagraph"/>
        <w:numPr>
          <w:ilvl w:val="1"/>
          <w:numId w:val="41"/>
        </w:numPr>
      </w:pPr>
      <w:r>
        <w:t>its assessment of the effectiveness of the external audit process and its recommendation on the appointment or reappointment of the external auditor; and</w:t>
      </w:r>
    </w:p>
    <w:p w14:paraId="265204BD" w14:textId="1C4BF48C" w:rsidR="00350D17" w:rsidRDefault="003C2A34">
      <w:pPr>
        <w:pStyle w:val="ListParagraph"/>
        <w:numPr>
          <w:ilvl w:val="1"/>
          <w:numId w:val="41"/>
        </w:numPr>
        <w:ind w:left="993" w:hanging="633"/>
      </w:pPr>
      <w:r>
        <w:t xml:space="preserve">any other issues on which the Board has requested the </w:t>
      </w:r>
      <w:r w:rsidR="00C233A4">
        <w:t>C</w:t>
      </w:r>
      <w:r>
        <w:t>ommittee’s opinion.</w:t>
      </w:r>
    </w:p>
    <w:p w14:paraId="1097A673" w14:textId="3FF0DBED" w:rsidR="00350D17" w:rsidRDefault="00350D17">
      <w:pPr>
        <w:pStyle w:val="ListParagraph"/>
        <w:numPr>
          <w:ilvl w:val="0"/>
          <w:numId w:val="41"/>
        </w:numPr>
        <w:spacing w:after="120"/>
      </w:pPr>
      <w:r>
        <w:t>The Committee shall provide a report on its activities in ICAEW’s annual report.</w:t>
      </w:r>
    </w:p>
    <w:p w14:paraId="25D83021" w14:textId="1A1931CC" w:rsidR="00350D17" w:rsidRDefault="00350D17">
      <w:pPr>
        <w:pStyle w:val="ListParagraph"/>
        <w:numPr>
          <w:ilvl w:val="0"/>
          <w:numId w:val="41"/>
        </w:numPr>
        <w:spacing w:after="120"/>
      </w:pPr>
      <w:r>
        <w:t xml:space="preserve">Meetings </w:t>
      </w:r>
      <w:r w:rsidRPr="00350D17">
        <w:t>of the Committee will be chaired by the Chair. If the Chair is unable to attend any meeting of the Committee, it shall be chaired by a</w:t>
      </w:r>
      <w:r>
        <w:t>n eligible</w:t>
      </w:r>
      <w:r w:rsidRPr="00350D17">
        <w:t xml:space="preserve"> member of the Committee </w:t>
      </w:r>
      <w:r w:rsidRPr="00350D17">
        <w:lastRenderedPageBreak/>
        <w:t>nominated by the Chair or if no one had been so nominated, by a</w:t>
      </w:r>
      <w:r w:rsidR="00FC0FEA">
        <w:t>n eligible</w:t>
      </w:r>
      <w:r w:rsidRPr="00350D17">
        <w:t xml:space="preserve"> member of the Committee chosen by the members present at the meeting.</w:t>
      </w:r>
    </w:p>
    <w:p w14:paraId="0B79D965" w14:textId="092FB7E2" w:rsidR="00FC0FEA" w:rsidRDefault="00FC0FEA">
      <w:pPr>
        <w:pStyle w:val="ListParagraph"/>
        <w:numPr>
          <w:ilvl w:val="0"/>
          <w:numId w:val="41"/>
        </w:numPr>
        <w:spacing w:after="120"/>
      </w:pPr>
      <w:r>
        <w:t xml:space="preserve">The Committee shall meet as often as required to fulfil its duties. As a minimum this will be </w:t>
      </w:r>
      <w:r w:rsidR="007719E4">
        <w:t>three</w:t>
      </w:r>
      <w:r>
        <w:t xml:space="preserve"> times a year.</w:t>
      </w:r>
    </w:p>
    <w:p w14:paraId="51E65FC6" w14:textId="6E1E2129" w:rsidR="001209C6" w:rsidRDefault="00FC0FEA">
      <w:pPr>
        <w:pStyle w:val="ListParagraph"/>
        <w:numPr>
          <w:ilvl w:val="0"/>
          <w:numId w:val="41"/>
        </w:numPr>
        <w:spacing w:after="120"/>
      </w:pPr>
      <w:r>
        <w:t xml:space="preserve">Members, staff and other </w:t>
      </w:r>
      <w:r w:rsidRPr="00FC0FEA">
        <w:t>stakeholders will be invited to attend meetings as business needs dictate.</w:t>
      </w:r>
      <w:r>
        <w:t xml:space="preserve"> </w:t>
      </w:r>
      <w:r w:rsidR="001209C6">
        <w:t xml:space="preserve">The Chief </w:t>
      </w:r>
      <w:r w:rsidR="00C233A4">
        <w:t xml:space="preserve">Finance </w:t>
      </w:r>
      <w:r w:rsidR="001209C6">
        <w:t xml:space="preserve">e Officer usually attends committee meetings to provide expert advice on </w:t>
      </w:r>
      <w:r w:rsidR="00C233A4">
        <w:t xml:space="preserve">relevant </w:t>
      </w:r>
      <w:r w:rsidR="001209C6">
        <w:t xml:space="preserve"> matters. </w:t>
      </w:r>
    </w:p>
    <w:p w14:paraId="153BEB92" w14:textId="1EDF0BCE" w:rsidR="00FC0FEA" w:rsidRDefault="00FC0FEA">
      <w:pPr>
        <w:pStyle w:val="ListParagraph"/>
        <w:numPr>
          <w:ilvl w:val="0"/>
          <w:numId w:val="41"/>
        </w:numPr>
        <w:spacing w:after="120"/>
      </w:pPr>
      <w:r>
        <w:t xml:space="preserve">The Chair </w:t>
      </w:r>
      <w:r w:rsidRPr="00FC0FEA">
        <w:t>of the Committee shall attend the Annual General Meeting and be prepared to respond to any questions on the Committee’s activities. If the Chair is unable to attend, another member of the Committee shall attend in their place.</w:t>
      </w:r>
    </w:p>
    <w:p w14:paraId="03E1ED74" w14:textId="78B86283" w:rsidR="00FC0FEA" w:rsidRDefault="00FC0FEA">
      <w:pPr>
        <w:pStyle w:val="ListParagraph"/>
        <w:numPr>
          <w:ilvl w:val="0"/>
          <w:numId w:val="41"/>
        </w:numPr>
        <w:spacing w:after="120"/>
      </w:pPr>
      <w:r>
        <w:t xml:space="preserve">The Committee </w:t>
      </w:r>
      <w:r w:rsidRPr="00FC0FEA">
        <w:t>shall have access to sufficient resources to carry out its duties, including access to the Governance Office for advice and assistance as required. The Governance Office shall provide committee secretariat support to the Committee.</w:t>
      </w:r>
    </w:p>
    <w:p w14:paraId="2C91579F" w14:textId="67A226F3" w:rsidR="00FC0FEA" w:rsidRDefault="00FC0FEA">
      <w:pPr>
        <w:pStyle w:val="ListParagraph"/>
        <w:numPr>
          <w:ilvl w:val="0"/>
          <w:numId w:val="41"/>
        </w:numPr>
        <w:spacing w:after="120"/>
      </w:pPr>
      <w:r>
        <w:t xml:space="preserve">The Committee will </w:t>
      </w:r>
      <w:r w:rsidRPr="00FC0FEA">
        <w:t xml:space="preserve">take account of </w:t>
      </w:r>
      <w:r w:rsidR="00A33B44">
        <w:t xml:space="preserve">ICAEW strategy and values, regulatory requirements, the need to promote effective risk management and </w:t>
      </w:r>
      <w:r w:rsidRPr="00FC0FEA">
        <w:t>matters of inclusion and diversity with respect to its activities.</w:t>
      </w:r>
    </w:p>
    <w:p w14:paraId="4FBC7675" w14:textId="77777777" w:rsidR="00237779" w:rsidRDefault="00237779" w:rsidP="00237779">
      <w:pPr>
        <w:pStyle w:val="BodyText"/>
        <w:spacing w:after="120"/>
      </w:pPr>
    </w:p>
    <w:tbl>
      <w:tblPr>
        <w:tblStyle w:val="TableGrid"/>
        <w:tblW w:w="0" w:type="auto"/>
        <w:tblLook w:val="04A0" w:firstRow="1" w:lastRow="0" w:firstColumn="1" w:lastColumn="0" w:noHBand="0" w:noVBand="1"/>
      </w:tblPr>
      <w:tblGrid>
        <w:gridCol w:w="4815"/>
        <w:gridCol w:w="4816"/>
      </w:tblGrid>
      <w:tr w:rsidR="00237779" w14:paraId="3B02ECDC" w14:textId="77777777" w:rsidTr="00237779">
        <w:tc>
          <w:tcPr>
            <w:tcW w:w="4815" w:type="dxa"/>
          </w:tcPr>
          <w:p w14:paraId="68F103EC" w14:textId="2D8EEA21" w:rsidR="00237779" w:rsidRPr="00407DA6" w:rsidRDefault="00237779" w:rsidP="00237779">
            <w:pPr>
              <w:pStyle w:val="BodyText"/>
              <w:spacing w:after="120"/>
              <w:rPr>
                <w:b/>
                <w:bCs/>
              </w:rPr>
            </w:pPr>
            <w:r w:rsidRPr="00407DA6">
              <w:rPr>
                <w:b/>
                <w:bCs/>
              </w:rPr>
              <w:t>Date Approved</w:t>
            </w:r>
          </w:p>
        </w:tc>
        <w:tc>
          <w:tcPr>
            <w:tcW w:w="4816" w:type="dxa"/>
          </w:tcPr>
          <w:p w14:paraId="013074F1" w14:textId="008A7D3C" w:rsidR="00237779" w:rsidRDefault="00407DA6" w:rsidP="00237779">
            <w:pPr>
              <w:pStyle w:val="BodyText"/>
              <w:spacing w:after="120"/>
            </w:pPr>
            <w:r>
              <w:t>30 January 2025</w:t>
            </w:r>
          </w:p>
        </w:tc>
      </w:tr>
      <w:tr w:rsidR="00237779" w14:paraId="2FA822ED" w14:textId="77777777" w:rsidTr="00237779">
        <w:tc>
          <w:tcPr>
            <w:tcW w:w="4815" w:type="dxa"/>
          </w:tcPr>
          <w:p w14:paraId="7A458D4F" w14:textId="4A3F9727" w:rsidR="00237779" w:rsidRPr="00407DA6" w:rsidRDefault="00237779" w:rsidP="00237779">
            <w:pPr>
              <w:pStyle w:val="BodyText"/>
              <w:spacing w:after="120"/>
              <w:rPr>
                <w:b/>
                <w:bCs/>
              </w:rPr>
            </w:pPr>
            <w:r w:rsidRPr="00407DA6">
              <w:rPr>
                <w:b/>
                <w:bCs/>
              </w:rPr>
              <w:t>Amendments</w:t>
            </w:r>
          </w:p>
        </w:tc>
        <w:tc>
          <w:tcPr>
            <w:tcW w:w="4816" w:type="dxa"/>
          </w:tcPr>
          <w:p w14:paraId="594B0FC0" w14:textId="77777777" w:rsidR="00237779" w:rsidRDefault="00237779" w:rsidP="00237779">
            <w:pPr>
              <w:pStyle w:val="BodyText"/>
              <w:spacing w:after="120"/>
            </w:pPr>
          </w:p>
        </w:tc>
      </w:tr>
    </w:tbl>
    <w:p w14:paraId="3F59068E" w14:textId="77777777" w:rsidR="00237779" w:rsidRDefault="00237779" w:rsidP="00237779">
      <w:pPr>
        <w:pStyle w:val="BodyText"/>
        <w:spacing w:after="120"/>
      </w:pPr>
    </w:p>
    <w:p w14:paraId="74B54EC6" w14:textId="77777777" w:rsidR="00FC788F" w:rsidRDefault="00FC788F" w:rsidP="00237779">
      <w:pPr>
        <w:pStyle w:val="BodyText"/>
        <w:spacing w:after="120"/>
      </w:pPr>
    </w:p>
    <w:p w14:paraId="35ACD280" w14:textId="77777777" w:rsidR="00FC788F" w:rsidRDefault="00FC788F" w:rsidP="00237779">
      <w:pPr>
        <w:pStyle w:val="BodyText"/>
        <w:spacing w:after="120"/>
      </w:pPr>
    </w:p>
    <w:p w14:paraId="443B50A1" w14:textId="77777777" w:rsidR="00FC788F" w:rsidRDefault="00FC788F" w:rsidP="00237779">
      <w:pPr>
        <w:pStyle w:val="BodyText"/>
        <w:spacing w:after="120"/>
      </w:pPr>
    </w:p>
    <w:p w14:paraId="382DD2CC" w14:textId="77777777" w:rsidR="000624AD" w:rsidRDefault="000624AD" w:rsidP="00237779">
      <w:pPr>
        <w:pStyle w:val="BodyText"/>
        <w:spacing w:after="120"/>
      </w:pPr>
    </w:p>
    <w:p w14:paraId="17BF367D" w14:textId="77777777" w:rsidR="00C233A4" w:rsidRDefault="00C233A4">
      <w:pPr>
        <w:spacing w:line="240" w:lineRule="auto"/>
        <w:rPr>
          <w:b/>
        </w:rPr>
      </w:pPr>
      <w:r>
        <w:br w:type="page"/>
      </w:r>
    </w:p>
    <w:p w14:paraId="1AF549D4" w14:textId="14EB08D9" w:rsidR="00FC788F" w:rsidRDefault="00FC788F" w:rsidP="00FC788F">
      <w:pPr>
        <w:pStyle w:val="Heading3"/>
      </w:pPr>
      <w:r>
        <w:lastRenderedPageBreak/>
        <w:t>Appendix 1: Detailed responsibilities</w:t>
      </w:r>
    </w:p>
    <w:p w14:paraId="4F1DFE2A" w14:textId="77777777" w:rsidR="00FC788F" w:rsidRPr="00EE6313" w:rsidRDefault="00FC788F" w:rsidP="00FC788F"/>
    <w:p w14:paraId="4CAC7B48" w14:textId="77777777" w:rsidR="00FC788F" w:rsidRPr="00EE6313" w:rsidRDefault="00FC788F" w:rsidP="00FC788F">
      <w:pPr>
        <w:pStyle w:val="Heading4"/>
        <w:spacing w:line="360" w:lineRule="auto"/>
      </w:pPr>
      <w:r>
        <w:t>Financial reporting</w:t>
      </w:r>
    </w:p>
    <w:p w14:paraId="100253D3" w14:textId="77777777" w:rsidR="00FC788F" w:rsidRDefault="00FC788F" w:rsidP="00FC788F">
      <w:pPr>
        <w:pStyle w:val="ListParagraph"/>
        <w:numPr>
          <w:ilvl w:val="0"/>
          <w:numId w:val="48"/>
        </w:numPr>
      </w:pPr>
      <w:r>
        <w:t>The Committee reviews, and reports to the Board on, the significant financial reporting issues and judgements made in connection with the preparation of the ICAEW financial statements (having regard to matters communicated to it by the auditor).</w:t>
      </w:r>
    </w:p>
    <w:p w14:paraId="445670E3" w14:textId="77777777" w:rsidR="00FC788F" w:rsidRDefault="00FC788F" w:rsidP="00FC788F">
      <w:pPr>
        <w:pStyle w:val="ListParagraph"/>
        <w:ind w:left="360"/>
      </w:pPr>
    </w:p>
    <w:p w14:paraId="433586E3" w14:textId="77777777" w:rsidR="00FC788F" w:rsidRDefault="00FC788F" w:rsidP="00FC788F">
      <w:pPr>
        <w:pStyle w:val="ListParagraph"/>
        <w:numPr>
          <w:ilvl w:val="0"/>
          <w:numId w:val="48"/>
        </w:numPr>
      </w:pPr>
      <w:r>
        <w:t xml:space="preserve">The Committee considers significant accounting policies, any changes to them and any significant estimates and judgements. Taking into account the external auditor’s view, the Committee considers whether ICAEW has adopted appropriate accounting policies and, where necessary, made appropriate estimates and judgements. </w:t>
      </w:r>
    </w:p>
    <w:p w14:paraId="778484CF" w14:textId="77777777" w:rsidR="00FC788F" w:rsidRDefault="00FC788F" w:rsidP="00FC788F">
      <w:pPr>
        <w:pStyle w:val="ListParagraph"/>
      </w:pPr>
    </w:p>
    <w:p w14:paraId="31E7EAF1" w14:textId="77777777" w:rsidR="00FC788F" w:rsidRDefault="00FC788F" w:rsidP="00FC788F">
      <w:pPr>
        <w:pStyle w:val="ListParagraph"/>
        <w:numPr>
          <w:ilvl w:val="0"/>
          <w:numId w:val="48"/>
        </w:numPr>
      </w:pPr>
      <w:r>
        <w:t>The Committee reviews the clarity and completeness of disclosures in the financial statements and considers whether the disclosures made are set properly in context.</w:t>
      </w:r>
    </w:p>
    <w:p w14:paraId="292CEF34" w14:textId="77777777" w:rsidR="00FC788F" w:rsidRDefault="00FC788F" w:rsidP="00FC788F"/>
    <w:p w14:paraId="3BE15497" w14:textId="77777777" w:rsidR="00FC788F" w:rsidRDefault="00FC788F" w:rsidP="00FC788F">
      <w:pPr>
        <w:pStyle w:val="ListParagraph"/>
        <w:numPr>
          <w:ilvl w:val="0"/>
          <w:numId w:val="48"/>
        </w:numPr>
      </w:pPr>
      <w:r>
        <w:t>The Committee evaluates the risks to the quality and effectiveness of the financial reporting process. Where, following its review, the Committee is not satisfied with any aspect of the proposed financial reporting, it reports its views to the Board.</w:t>
      </w:r>
    </w:p>
    <w:p w14:paraId="4E76EF42" w14:textId="77777777" w:rsidR="00FC788F" w:rsidRDefault="00FC788F" w:rsidP="00FC788F"/>
    <w:p w14:paraId="43C59EFA" w14:textId="77777777" w:rsidR="00FC788F" w:rsidRDefault="00FC788F" w:rsidP="00FC788F">
      <w:pPr>
        <w:pStyle w:val="ListParagraph"/>
        <w:numPr>
          <w:ilvl w:val="0"/>
          <w:numId w:val="48"/>
        </w:numPr>
      </w:pPr>
      <w:r>
        <w:t xml:space="preserve">The Committee reviews related information presented with the financial statements, including the business review, and corporate governance statements relating to the audit and to risk management. </w:t>
      </w:r>
    </w:p>
    <w:p w14:paraId="0F70BB29" w14:textId="77777777" w:rsidR="00FC788F" w:rsidRDefault="00FC788F" w:rsidP="00FC788F"/>
    <w:p w14:paraId="72C8BB4E" w14:textId="77777777" w:rsidR="00FC788F" w:rsidRDefault="00FC788F" w:rsidP="00FC788F">
      <w:pPr>
        <w:pStyle w:val="Heading4"/>
        <w:spacing w:line="360" w:lineRule="auto"/>
      </w:pPr>
      <w:r>
        <w:t>Narrative reporting</w:t>
      </w:r>
    </w:p>
    <w:p w14:paraId="19C68E02" w14:textId="77777777" w:rsidR="00FC788F" w:rsidRDefault="00FC788F" w:rsidP="00FC788F">
      <w:pPr>
        <w:pStyle w:val="ListParagraph"/>
        <w:numPr>
          <w:ilvl w:val="0"/>
          <w:numId w:val="48"/>
        </w:numPr>
      </w:pPr>
      <w:r>
        <w:t>The Audit Committee section of the annual report contains:</w:t>
      </w:r>
    </w:p>
    <w:p w14:paraId="7142A124" w14:textId="77777777" w:rsidR="00FC788F" w:rsidRDefault="00FC788F" w:rsidP="00FC788F">
      <w:pPr>
        <w:pStyle w:val="ListParagraph"/>
        <w:numPr>
          <w:ilvl w:val="1"/>
          <w:numId w:val="48"/>
        </w:numPr>
        <w:ind w:left="993" w:hanging="633"/>
      </w:pPr>
      <w:r>
        <w:t xml:space="preserve"> a summary of the role of the Committee, names and qualifications of the members of the Committee and the number of meetings</w:t>
      </w:r>
    </w:p>
    <w:p w14:paraId="242CC7AF" w14:textId="77777777" w:rsidR="00FC788F" w:rsidRDefault="00FC788F" w:rsidP="00FC788F">
      <w:pPr>
        <w:pStyle w:val="ListParagraph"/>
        <w:numPr>
          <w:ilvl w:val="1"/>
          <w:numId w:val="48"/>
        </w:numPr>
        <w:ind w:left="993" w:hanging="633"/>
      </w:pPr>
      <w:r>
        <w:t>explains how it has discharged its powers and authorities</w:t>
      </w:r>
    </w:p>
    <w:p w14:paraId="64F543BD" w14:textId="77777777" w:rsidR="00FC788F" w:rsidRDefault="00FC788F" w:rsidP="00FC788F">
      <w:pPr>
        <w:pStyle w:val="ListParagraph"/>
        <w:numPr>
          <w:ilvl w:val="1"/>
          <w:numId w:val="48"/>
        </w:numPr>
        <w:ind w:left="993" w:hanging="633"/>
      </w:pPr>
      <w:r>
        <w:t>how the Committee has assessed the effectiveness of the external audit process and of the approach taken to the appointment or reappointment of the external auditor</w:t>
      </w:r>
    </w:p>
    <w:p w14:paraId="30348839" w14:textId="77777777" w:rsidR="00FC788F" w:rsidRDefault="00FC788F" w:rsidP="00FC788F">
      <w:pPr>
        <w:pStyle w:val="ListParagraph"/>
        <w:numPr>
          <w:ilvl w:val="1"/>
          <w:numId w:val="48"/>
        </w:numPr>
        <w:ind w:left="993" w:hanging="633"/>
      </w:pPr>
      <w:r>
        <w:t>if the auditor provides non-audit services, auditor objectivity and independence is safeguarded and information on the length of tenure of the current audit firm, when a tender was last conducted, and any contractual obligations that acted to restrict the Committee’s choice of external auditors.</w:t>
      </w:r>
    </w:p>
    <w:p w14:paraId="6A5AAF06" w14:textId="77777777" w:rsidR="00FC788F" w:rsidRDefault="00FC788F" w:rsidP="00FC788F">
      <w:pPr>
        <w:pStyle w:val="ListParagraph"/>
        <w:ind w:left="360"/>
      </w:pPr>
    </w:p>
    <w:p w14:paraId="33F95B7D" w14:textId="77777777" w:rsidR="00FC788F" w:rsidRDefault="00FC788F" w:rsidP="00FC788F">
      <w:pPr>
        <w:pStyle w:val="ListParagraph"/>
        <w:numPr>
          <w:ilvl w:val="0"/>
          <w:numId w:val="48"/>
        </w:numPr>
      </w:pPr>
      <w:r>
        <w:t>In the event of any disagreement between the Committee and the Board which cannot be resolved, the Committee shall report the issue to Council and/or members in a timely manner and as part of the report of its activities in the annual report.</w:t>
      </w:r>
    </w:p>
    <w:p w14:paraId="003789E1" w14:textId="77777777" w:rsidR="00FC788F" w:rsidRDefault="00FC788F" w:rsidP="00FC788F">
      <w:pPr>
        <w:pStyle w:val="ListParagraph"/>
        <w:ind w:left="360"/>
      </w:pPr>
    </w:p>
    <w:p w14:paraId="6DB12A71" w14:textId="77777777" w:rsidR="00FC788F" w:rsidRDefault="00FC788F" w:rsidP="00FC788F">
      <w:pPr>
        <w:pStyle w:val="ListParagraph"/>
        <w:numPr>
          <w:ilvl w:val="0"/>
          <w:numId w:val="48"/>
        </w:numPr>
      </w:pPr>
      <w:r>
        <w:t>The Committee reviews the content of the ICAEW Annual Report and accounts and advises the Board on whether, taken as a whole, it is fair, balanced, understandable, and reasonable and provides the information necessary for members to assess ICAEW performance, business model and strategy.</w:t>
      </w:r>
    </w:p>
    <w:p w14:paraId="40B6299D" w14:textId="77777777" w:rsidR="00FC788F" w:rsidRDefault="00FC788F" w:rsidP="00FC788F">
      <w:pPr>
        <w:pStyle w:val="ListParagraph"/>
        <w:ind w:left="360"/>
      </w:pPr>
    </w:p>
    <w:p w14:paraId="276737F0" w14:textId="77777777" w:rsidR="00FC788F" w:rsidRDefault="00FC788F" w:rsidP="00FC788F">
      <w:pPr>
        <w:pStyle w:val="ListParagraph"/>
        <w:numPr>
          <w:ilvl w:val="0"/>
          <w:numId w:val="48"/>
        </w:numPr>
      </w:pPr>
      <w:r>
        <w:t>The Committee assesses whether the narrative in the report is consistent with the accounting information.</w:t>
      </w:r>
    </w:p>
    <w:p w14:paraId="3DD9CC1A" w14:textId="77777777" w:rsidR="00FC788F" w:rsidRDefault="00FC788F" w:rsidP="00FC788F"/>
    <w:p w14:paraId="6777DA15" w14:textId="77777777" w:rsidR="00FC788F" w:rsidRDefault="00FC788F" w:rsidP="00FC788F">
      <w:pPr>
        <w:pStyle w:val="Heading4"/>
        <w:spacing w:line="360" w:lineRule="auto"/>
      </w:pPr>
      <w:r>
        <w:t>Whistleblowing</w:t>
      </w:r>
    </w:p>
    <w:p w14:paraId="7BF65342" w14:textId="77777777" w:rsidR="00FC788F" w:rsidRDefault="00FC788F" w:rsidP="00FC788F">
      <w:pPr>
        <w:pStyle w:val="ListParagraph"/>
        <w:numPr>
          <w:ilvl w:val="0"/>
          <w:numId w:val="48"/>
        </w:numPr>
      </w:pPr>
      <w:r>
        <w:lastRenderedPageBreak/>
        <w:t xml:space="preserve">The Committee reviews arrangements by which ICAEW staff and active members may, in confidence, raise concerns about possible improprieties in matters of financial reporting or other matters. </w:t>
      </w:r>
    </w:p>
    <w:p w14:paraId="33E4FFF1" w14:textId="77777777" w:rsidR="00FC788F" w:rsidRDefault="00FC788F" w:rsidP="00FC788F"/>
    <w:p w14:paraId="733B88DB" w14:textId="77777777" w:rsidR="00FC788F" w:rsidRPr="00A416CB" w:rsidRDefault="00FC788F" w:rsidP="00FC788F">
      <w:pPr>
        <w:spacing w:line="360" w:lineRule="auto"/>
        <w:rPr>
          <w:b/>
          <w:bCs/>
          <w:color w:val="706F6F" w:themeColor="text2"/>
        </w:rPr>
      </w:pPr>
      <w:r w:rsidRPr="000B1121">
        <w:rPr>
          <w:b/>
          <w:bCs/>
          <w:color w:val="706F6F" w:themeColor="text2"/>
        </w:rPr>
        <w:t xml:space="preserve">Counter Fraud </w:t>
      </w:r>
    </w:p>
    <w:p w14:paraId="4DFE1E43" w14:textId="77777777" w:rsidR="00FC788F" w:rsidRDefault="00FC788F" w:rsidP="00FC788F">
      <w:pPr>
        <w:pStyle w:val="ListParagraph"/>
        <w:numPr>
          <w:ilvl w:val="0"/>
          <w:numId w:val="48"/>
        </w:numPr>
      </w:pPr>
      <w:r w:rsidRPr="00A1025F">
        <w:t>To assure itself that the organisation has adequate arrangements in place for counter fraud, bribery and corruption and to review the outcome of work in these areas.</w:t>
      </w:r>
    </w:p>
    <w:p w14:paraId="28DBCEFA" w14:textId="77777777" w:rsidR="00FC788F" w:rsidRPr="00A1025F" w:rsidRDefault="00FC788F" w:rsidP="00FC788F">
      <w:pPr>
        <w:pStyle w:val="ListParagraph"/>
        <w:ind w:left="360"/>
      </w:pPr>
    </w:p>
    <w:p w14:paraId="13A0101C" w14:textId="77777777" w:rsidR="00FC788F" w:rsidRDefault="00FC788F" w:rsidP="00FC788F">
      <w:pPr>
        <w:pStyle w:val="ListParagraph"/>
        <w:numPr>
          <w:ilvl w:val="0"/>
          <w:numId w:val="48"/>
        </w:numPr>
      </w:pPr>
      <w:r w:rsidRPr="00A1025F">
        <w:t>To ensure that counter fraud provides appropriate progress reports and that these are scrutinised and challenged where appropriate.</w:t>
      </w:r>
    </w:p>
    <w:p w14:paraId="7E96B9FD" w14:textId="77777777" w:rsidR="00FC788F" w:rsidRPr="00A1025F" w:rsidRDefault="00FC788F" w:rsidP="00FC788F"/>
    <w:p w14:paraId="776A2B79" w14:textId="77777777" w:rsidR="00FC788F" w:rsidRPr="00A1025F" w:rsidRDefault="00FC788F" w:rsidP="00FC788F">
      <w:pPr>
        <w:pStyle w:val="ListParagraph"/>
        <w:numPr>
          <w:ilvl w:val="0"/>
          <w:numId w:val="48"/>
        </w:numPr>
      </w:pPr>
      <w:r w:rsidRPr="00A1025F">
        <w:t>To be assured that counter fraud submits an annual report, outlining key work undertaken during each financial year to meet standards.</w:t>
      </w:r>
    </w:p>
    <w:p w14:paraId="3F12B7DE" w14:textId="77777777" w:rsidR="00FC788F" w:rsidRPr="000B1121" w:rsidRDefault="00FC788F" w:rsidP="00FC788F">
      <w:pPr>
        <w:rPr>
          <w:color w:val="706F6F" w:themeColor="text2"/>
        </w:rPr>
      </w:pPr>
    </w:p>
    <w:p w14:paraId="4C24A3AD" w14:textId="77777777" w:rsidR="00FC788F" w:rsidRDefault="00FC788F" w:rsidP="00FC788F">
      <w:pPr>
        <w:pStyle w:val="Heading4"/>
        <w:spacing w:line="360" w:lineRule="auto"/>
      </w:pPr>
      <w:r>
        <w:t xml:space="preserve">Internal controls </w:t>
      </w:r>
    </w:p>
    <w:p w14:paraId="34A8107F" w14:textId="77777777" w:rsidR="00FC788F" w:rsidRDefault="00FC788F" w:rsidP="00FC788F">
      <w:pPr>
        <w:pStyle w:val="ListParagraph"/>
        <w:numPr>
          <w:ilvl w:val="0"/>
          <w:numId w:val="48"/>
        </w:numPr>
      </w:pPr>
      <w:r>
        <w:t>The Committee reviews ICAEW internal financial controls and other internal control systems determined by the risk profile of the organisation.</w:t>
      </w:r>
    </w:p>
    <w:p w14:paraId="2E8D9A26" w14:textId="77777777" w:rsidR="00FC788F" w:rsidRDefault="00FC788F" w:rsidP="00FC788F">
      <w:pPr>
        <w:pStyle w:val="ListParagraph"/>
        <w:ind w:left="360"/>
      </w:pPr>
    </w:p>
    <w:p w14:paraId="095F7E9F" w14:textId="77777777" w:rsidR="00FC788F" w:rsidRDefault="00FC788F" w:rsidP="00FC788F">
      <w:pPr>
        <w:pStyle w:val="ListParagraph"/>
        <w:numPr>
          <w:ilvl w:val="0"/>
          <w:numId w:val="48"/>
        </w:numPr>
      </w:pPr>
      <w:r>
        <w:t>The Committee receives reports from management on the effectiveness of the systems they have established and the conclusions of any testing carried out by the internal and external auditors.</w:t>
      </w:r>
    </w:p>
    <w:p w14:paraId="2F8952EF" w14:textId="77777777" w:rsidR="00FC788F" w:rsidRDefault="00FC788F" w:rsidP="00FC788F"/>
    <w:p w14:paraId="423F6501" w14:textId="77777777" w:rsidR="00FC788F" w:rsidRDefault="00FC788F" w:rsidP="00FC788F">
      <w:pPr>
        <w:pStyle w:val="ListParagraph"/>
        <w:numPr>
          <w:ilvl w:val="0"/>
          <w:numId w:val="48"/>
        </w:numPr>
      </w:pPr>
      <w:r>
        <w:t>The Committee reviews and approves the statement included in the annual report in relation to internal control.</w:t>
      </w:r>
    </w:p>
    <w:p w14:paraId="1512AA76" w14:textId="77777777" w:rsidR="00FC788F" w:rsidRDefault="00FC788F" w:rsidP="00FC788F"/>
    <w:p w14:paraId="08223535" w14:textId="77777777" w:rsidR="00FC788F" w:rsidRDefault="00FC788F" w:rsidP="00FC788F">
      <w:pPr>
        <w:pStyle w:val="Heading4"/>
        <w:spacing w:line="360" w:lineRule="auto"/>
      </w:pPr>
      <w:r>
        <w:t>Internal audit</w:t>
      </w:r>
    </w:p>
    <w:p w14:paraId="235FD88B" w14:textId="77777777" w:rsidR="00FC788F" w:rsidRDefault="00FC788F" w:rsidP="00FC788F">
      <w:pPr>
        <w:pStyle w:val="ListParagraph"/>
        <w:numPr>
          <w:ilvl w:val="0"/>
          <w:numId w:val="48"/>
        </w:numPr>
      </w:pPr>
      <w:r>
        <w:t xml:space="preserve">The Committee monitors and reviews the effectiveness and appropriate independence of the ICAEW internal audit function. </w:t>
      </w:r>
    </w:p>
    <w:p w14:paraId="2F031F5E" w14:textId="77777777" w:rsidR="00FC788F" w:rsidRDefault="00FC788F" w:rsidP="00FC788F"/>
    <w:p w14:paraId="25D72EF1" w14:textId="77777777" w:rsidR="00FC788F" w:rsidRDefault="00FC788F" w:rsidP="00FC788F">
      <w:pPr>
        <w:pStyle w:val="ListParagraph"/>
        <w:numPr>
          <w:ilvl w:val="0"/>
          <w:numId w:val="48"/>
        </w:numPr>
      </w:pPr>
      <w:r>
        <w:t>The Committee reviews and approves the internal audit function’s remit, having regard to the complementary roles of the internal and external audit functions. The Committee ensures that the function has the necessary resources and access to information to enable it to fulfil its mandate, and is equipped to perform in accordance with appropriate professional standards for internal auditors.</w:t>
      </w:r>
    </w:p>
    <w:p w14:paraId="4B30AC91" w14:textId="77777777" w:rsidR="00FC788F" w:rsidRDefault="00FC788F" w:rsidP="00FC788F"/>
    <w:p w14:paraId="2559086D" w14:textId="77777777" w:rsidR="00FC788F" w:rsidRDefault="00FC788F" w:rsidP="00FC788F">
      <w:pPr>
        <w:pStyle w:val="ListParagraph"/>
        <w:numPr>
          <w:ilvl w:val="0"/>
          <w:numId w:val="48"/>
        </w:numPr>
      </w:pPr>
      <w:r>
        <w:t>In undertaking its review, the Committee ensures that the internal auditor has direct access to the Committee, to the Chair of Board and to the Chief Executive, and is accountable to the Committee; reviews and assesses the annual internal audit work plan; receives a report on the results of the internal auditors’ work on a periodic basis; reviews and monitors management’s responsiveness to the internal auditor’s findings and recommendations; meets with the head of internal audit at least once a year without management present; and monitors and assesses the role and effectiveness of the internal audit function in the overall context of ICAEW’s risk management system.</w:t>
      </w:r>
    </w:p>
    <w:p w14:paraId="63A4F797" w14:textId="77777777" w:rsidR="00FC788F" w:rsidRDefault="00FC788F" w:rsidP="00FC788F"/>
    <w:p w14:paraId="4ABB4C53" w14:textId="77777777" w:rsidR="00FC788F" w:rsidRDefault="00FC788F" w:rsidP="00FC788F">
      <w:pPr>
        <w:pStyle w:val="ListParagraph"/>
        <w:numPr>
          <w:ilvl w:val="0"/>
          <w:numId w:val="48"/>
        </w:numPr>
      </w:pPr>
      <w:r>
        <w:t>The Committee approves, on the recommendation of the Chief Executive, the appointment or termination of appointment of the Head of Internal Audit.</w:t>
      </w:r>
    </w:p>
    <w:p w14:paraId="0E6BD848" w14:textId="77777777" w:rsidR="00FC788F" w:rsidRDefault="00FC788F" w:rsidP="00FC788F"/>
    <w:p w14:paraId="5A550A9C" w14:textId="77777777" w:rsidR="00FC788F" w:rsidRDefault="00FC788F" w:rsidP="00FC788F">
      <w:pPr>
        <w:pStyle w:val="ListParagraph"/>
        <w:numPr>
          <w:ilvl w:val="0"/>
          <w:numId w:val="48"/>
        </w:numPr>
      </w:pPr>
      <w:r>
        <w:lastRenderedPageBreak/>
        <w:t>At least annually, the committee ensures that the Internal Audit plan is defined and undertaken to meet the assurance requirements of the Committee, The Board, Council and other relevant stakeholders.</w:t>
      </w:r>
    </w:p>
    <w:p w14:paraId="0B84F551" w14:textId="77777777" w:rsidR="00FC788F" w:rsidRDefault="00FC788F" w:rsidP="00FC788F"/>
    <w:p w14:paraId="06C3D475" w14:textId="77777777" w:rsidR="00FC788F" w:rsidRDefault="00FC788F" w:rsidP="00FC788F">
      <w:pPr>
        <w:pStyle w:val="Heading4"/>
        <w:spacing w:line="360" w:lineRule="auto"/>
      </w:pPr>
      <w:r>
        <w:t>External audit</w:t>
      </w:r>
    </w:p>
    <w:p w14:paraId="21BA508A" w14:textId="77777777" w:rsidR="00FC788F" w:rsidRDefault="00FC788F" w:rsidP="00FC788F">
      <w:pPr>
        <w:pStyle w:val="ListParagraph"/>
        <w:numPr>
          <w:ilvl w:val="0"/>
          <w:numId w:val="48"/>
        </w:numPr>
      </w:pPr>
      <w:r>
        <w:t>The Committee is responsible for overseeing ICAEW relations with the external auditor.</w:t>
      </w:r>
    </w:p>
    <w:p w14:paraId="03B09547" w14:textId="77777777" w:rsidR="00FC788F" w:rsidRDefault="00FC788F" w:rsidP="00FC788F"/>
    <w:p w14:paraId="285B81C9" w14:textId="77777777" w:rsidR="00FC788F" w:rsidRDefault="00FC788F" w:rsidP="00FC788F">
      <w:pPr>
        <w:pStyle w:val="ListParagraph"/>
        <w:numPr>
          <w:ilvl w:val="0"/>
          <w:numId w:val="48"/>
        </w:numPr>
      </w:pPr>
      <w:r>
        <w:t>The Committee oversees the selection process and makes a recommendation on the appointment, reappointment, and removal of the external auditors to the ICAEW Board for submission to Council and subsequently to the members at the annual meeting; and to the ICAEW Board on the terms of engagement and the remuneration to be paid to the external auditor in respect of audit services provided. The Committee satisfies itself that the level of fee payable in respect of the audit services provided is appropriate and that an effective, high quality, audit can be conducted for such a fee.</w:t>
      </w:r>
    </w:p>
    <w:p w14:paraId="598ED050" w14:textId="77777777" w:rsidR="00FC788F" w:rsidRDefault="00FC788F" w:rsidP="00FC788F">
      <w:pPr>
        <w:pStyle w:val="ListParagraph"/>
        <w:numPr>
          <w:ilvl w:val="0"/>
          <w:numId w:val="48"/>
        </w:numPr>
      </w:pPr>
      <w:r>
        <w:t>Annually, the Committee assesses, and reports to the Board on, the qualification, expertise and resources, and independence of the external auditors and the effectiveness of the audit process.</w:t>
      </w:r>
    </w:p>
    <w:p w14:paraId="56DA742A" w14:textId="77777777" w:rsidR="00FC788F" w:rsidRDefault="00FC788F" w:rsidP="00FC788F">
      <w:pPr>
        <w:pStyle w:val="ListParagraph"/>
        <w:ind w:left="360"/>
      </w:pPr>
    </w:p>
    <w:p w14:paraId="15A746B4" w14:textId="77777777" w:rsidR="00FC788F" w:rsidRDefault="00FC788F" w:rsidP="00FC788F">
      <w:pPr>
        <w:pStyle w:val="ListParagraph"/>
        <w:numPr>
          <w:ilvl w:val="0"/>
          <w:numId w:val="48"/>
        </w:numPr>
      </w:pPr>
      <w:r>
        <w:t>If the external auditor resigns, the Committee will investigate the issues giving rise to such resignation and consider whether any action is required.</w:t>
      </w:r>
    </w:p>
    <w:p w14:paraId="4D5019E4" w14:textId="77777777" w:rsidR="00FC788F" w:rsidRDefault="00FC788F" w:rsidP="00FC788F"/>
    <w:p w14:paraId="14FE2A01" w14:textId="77777777" w:rsidR="00FC788F" w:rsidRDefault="00FC788F" w:rsidP="00FC788F">
      <w:pPr>
        <w:pStyle w:val="ListParagraph"/>
        <w:numPr>
          <w:ilvl w:val="0"/>
          <w:numId w:val="48"/>
        </w:numPr>
      </w:pPr>
      <w:bookmarkStart w:id="5" w:name="_Hlk189056957"/>
      <w:r>
        <w:t>The Committee considers the need to include the risk of the withdrawal of the ICAEW auditor from the market in its evaluation of risk of the financial reporting process.</w:t>
      </w:r>
    </w:p>
    <w:bookmarkEnd w:id="5"/>
    <w:p w14:paraId="759E2A99" w14:textId="77777777" w:rsidR="00FC788F" w:rsidRDefault="00FC788F" w:rsidP="00FC788F"/>
    <w:p w14:paraId="4FD51F4D" w14:textId="77777777" w:rsidR="00FC788F" w:rsidRDefault="00FC788F" w:rsidP="00FC788F">
      <w:pPr>
        <w:pStyle w:val="ListParagraph"/>
        <w:numPr>
          <w:ilvl w:val="0"/>
          <w:numId w:val="48"/>
        </w:numPr>
      </w:pPr>
      <w:r>
        <w:t>The Committee reviews and agrees the engagement letter issued by the external auditor at the start of each audit, ensuring that it has been updated to reflect changes in circumstances arising since the previous year. The Committee reviews the scope of the external audit with the auditor. If the Committee is not satisfied as to its adequacy, it will arrange for additional work to be undertaken.</w:t>
      </w:r>
    </w:p>
    <w:p w14:paraId="3E1EA038" w14:textId="77777777" w:rsidR="00FC788F" w:rsidRDefault="00FC788F" w:rsidP="00FC788F"/>
    <w:p w14:paraId="37F5569E" w14:textId="77777777" w:rsidR="00FC788F" w:rsidRDefault="00FC788F" w:rsidP="00FC788F">
      <w:pPr>
        <w:pStyle w:val="Heading4"/>
      </w:pPr>
      <w:r>
        <w:t>Annual External audit cycle</w:t>
      </w:r>
    </w:p>
    <w:p w14:paraId="5A08AFCF" w14:textId="77777777" w:rsidR="00FC788F" w:rsidRPr="00A34F4A" w:rsidRDefault="00FC788F" w:rsidP="00FC788F"/>
    <w:p w14:paraId="1A4D6BD2" w14:textId="77777777" w:rsidR="00FC788F" w:rsidRDefault="00FC788F" w:rsidP="00FC788F">
      <w:pPr>
        <w:pStyle w:val="ListParagraph"/>
        <w:numPr>
          <w:ilvl w:val="0"/>
          <w:numId w:val="48"/>
        </w:numPr>
      </w:pPr>
      <w:r>
        <w:t>At the start of each audit cycle, the Committee ensures that appropriate plans are in place for the audit.</w:t>
      </w:r>
    </w:p>
    <w:p w14:paraId="272E260A" w14:textId="77777777" w:rsidR="00FC788F" w:rsidRDefault="00FC788F" w:rsidP="00FC788F">
      <w:pPr>
        <w:pStyle w:val="ListParagraph"/>
        <w:ind w:left="360"/>
      </w:pPr>
    </w:p>
    <w:p w14:paraId="307623CD" w14:textId="77777777" w:rsidR="00FC788F" w:rsidRDefault="00FC788F" w:rsidP="00FC788F">
      <w:pPr>
        <w:pStyle w:val="ListParagraph"/>
        <w:numPr>
          <w:ilvl w:val="0"/>
          <w:numId w:val="48"/>
        </w:numPr>
      </w:pPr>
      <w:r>
        <w:t>The Committee considers whether the auditor’s overall work plan, including planned levels of materiality, and proposed resources to execute the audit plan appears consistent with the scope of the audit engagement, having regard also to the seniority, expertise and experience of the audit team.</w:t>
      </w:r>
    </w:p>
    <w:p w14:paraId="3F4844F7" w14:textId="77777777" w:rsidR="00FC788F" w:rsidRDefault="00FC788F" w:rsidP="00FC788F"/>
    <w:p w14:paraId="528A9B3C" w14:textId="77777777" w:rsidR="00FC788F" w:rsidRDefault="00FC788F" w:rsidP="00FC788F">
      <w:pPr>
        <w:pStyle w:val="ListParagraph"/>
        <w:numPr>
          <w:ilvl w:val="0"/>
          <w:numId w:val="48"/>
        </w:numPr>
      </w:pPr>
      <w:r>
        <w:t>The Committee reviews with the external auditors the findings of their work. In the course of its review, the Committee discusses with the external auditor major issues that arose during the course of the audit and have subsequently been resolved and those issues that have been left unresolved; reviews key accounting and audit judgements; and reviews levels of errors identified during the audit, obtaining explanations from management and, where necessary, the external auditors as to why certain errors might remain unadjusted.</w:t>
      </w:r>
    </w:p>
    <w:p w14:paraId="2A722F08" w14:textId="77777777" w:rsidR="00FC788F" w:rsidRDefault="00FC788F" w:rsidP="00FC788F"/>
    <w:p w14:paraId="7982FE66" w14:textId="77777777" w:rsidR="00FC788F" w:rsidRDefault="00FC788F" w:rsidP="00FC788F">
      <w:pPr>
        <w:pStyle w:val="ListParagraph"/>
        <w:numPr>
          <w:ilvl w:val="0"/>
          <w:numId w:val="48"/>
        </w:numPr>
      </w:pPr>
      <w:r>
        <w:t xml:space="preserve">The Committee reviews the audit representation letters before signature and considers matters where representation has been requested that relate to non-standard issues. The Committee </w:t>
      </w:r>
      <w:r>
        <w:lastRenderedPageBreak/>
        <w:t>considers whether the information provided is complete and appropriate based on its own knowledge.</w:t>
      </w:r>
    </w:p>
    <w:p w14:paraId="31668D9C" w14:textId="77777777" w:rsidR="00FC788F" w:rsidRDefault="00FC788F" w:rsidP="00FC788F"/>
    <w:p w14:paraId="46536B92" w14:textId="77777777" w:rsidR="00FC788F" w:rsidRDefault="00FC788F" w:rsidP="00FC788F">
      <w:pPr>
        <w:pStyle w:val="ListParagraph"/>
        <w:numPr>
          <w:ilvl w:val="0"/>
          <w:numId w:val="48"/>
        </w:numPr>
      </w:pPr>
      <w:r>
        <w:t>The Committee reviews the management letter (or equivalent) and reviews and monitors management’s responsiveness to the external auditor’s findings and recommendations.</w:t>
      </w:r>
    </w:p>
    <w:p w14:paraId="095287F9" w14:textId="77777777" w:rsidR="00FC788F" w:rsidRDefault="00FC788F" w:rsidP="00FC788F"/>
    <w:p w14:paraId="3E371D52" w14:textId="77777777" w:rsidR="00FC788F" w:rsidRDefault="00FC788F" w:rsidP="00FC788F">
      <w:pPr>
        <w:pStyle w:val="ListParagraph"/>
        <w:numPr>
          <w:ilvl w:val="0"/>
          <w:numId w:val="48"/>
        </w:numPr>
      </w:pPr>
      <w:r>
        <w:t>At the end of the annual audit cycle, the Committee assesses the effectiveness of the audit process.</w:t>
      </w:r>
    </w:p>
    <w:p w14:paraId="636C9FAA" w14:textId="77777777" w:rsidR="00FC788F" w:rsidRDefault="00FC788F" w:rsidP="00FC788F"/>
    <w:p w14:paraId="59362488" w14:textId="77777777" w:rsidR="00FC788F" w:rsidRDefault="00FC788F" w:rsidP="00FC788F">
      <w:pPr>
        <w:pStyle w:val="Heading4"/>
        <w:spacing w:line="360" w:lineRule="auto"/>
      </w:pPr>
      <w:r>
        <w:t>Independence of the external auditor</w:t>
      </w:r>
    </w:p>
    <w:p w14:paraId="0D246534" w14:textId="77777777" w:rsidR="00FC788F" w:rsidRDefault="00FC788F" w:rsidP="00FC788F">
      <w:pPr>
        <w:pStyle w:val="ListParagraph"/>
        <w:numPr>
          <w:ilvl w:val="0"/>
          <w:numId w:val="48"/>
        </w:numPr>
      </w:pPr>
      <w:r>
        <w:t>The Committee assesses the independence and objectivity of the external auditor annually, taking into consideration relevant regulatory and professional requirements. This assessment involves a consideration of all relationships between ICAEW and the audit firm (including the provision of non-audit services) and any safeguards established by the external auditor. The Committee considers whether, taken as a whole and having regard to the views, as appropriate, of the external auditor, management and internal audit, those relationships appear to impair the auditor’s independence and objectivity.</w:t>
      </w:r>
    </w:p>
    <w:p w14:paraId="484B2FAA" w14:textId="77777777" w:rsidR="00FC788F" w:rsidRDefault="00FC788F" w:rsidP="00FC788F">
      <w:pPr>
        <w:pStyle w:val="ListParagraph"/>
        <w:ind w:left="360"/>
      </w:pPr>
    </w:p>
    <w:p w14:paraId="07707A4F" w14:textId="77777777" w:rsidR="00FC788F" w:rsidRDefault="00FC788F" w:rsidP="00FC788F">
      <w:pPr>
        <w:pStyle w:val="ListParagraph"/>
        <w:numPr>
          <w:ilvl w:val="0"/>
          <w:numId w:val="48"/>
        </w:numPr>
      </w:pPr>
      <w:r>
        <w:t>The Committee seeks reassurance that the auditors and their staff have no financial, business, employment or family and other personal relationship with ICAEW which could adversely affect the auditor’s independence and objectivity, taking account of relevant Ethical Standards for Auditors. The Committee seeks annually from the audit firm information about policies and processes for maintaining independence and monitoring compliance with relevant requirements, including current requirements regarding the rotation of audit partners and staff.</w:t>
      </w:r>
    </w:p>
    <w:p w14:paraId="0110CB3F" w14:textId="77777777" w:rsidR="00FC788F" w:rsidRDefault="00FC788F" w:rsidP="00FC788F"/>
    <w:p w14:paraId="7C51D93E" w14:textId="77777777" w:rsidR="00FC788F" w:rsidRDefault="00FC788F" w:rsidP="00FC788F">
      <w:pPr>
        <w:pStyle w:val="ListParagraph"/>
        <w:numPr>
          <w:ilvl w:val="0"/>
          <w:numId w:val="48"/>
        </w:numPr>
      </w:pPr>
      <w:r>
        <w:t xml:space="preserve">The Committee develops and recommends to the Board ICAEW policy in relation to the provision of non-audit services by the auditor, taking into account possible threats to auditor objectivity and independence and the Ethical Standards for Auditors.  The Committee keeps the policy under review. </w:t>
      </w:r>
    </w:p>
    <w:p w14:paraId="6B0829EA" w14:textId="77777777" w:rsidR="00FC788F" w:rsidRDefault="00FC788F" w:rsidP="00FC788F"/>
    <w:p w14:paraId="333CEE45" w14:textId="77777777" w:rsidR="00FC788F" w:rsidRDefault="00FC788F" w:rsidP="00FC788F">
      <w:pPr>
        <w:pStyle w:val="ListParagraph"/>
        <w:numPr>
          <w:ilvl w:val="0"/>
          <w:numId w:val="48"/>
        </w:numPr>
      </w:pPr>
      <w:r>
        <w:t>The Committee considers whether the skills and experience of the audit firm make it the most suitable supplier of the non-audit service; whether there are safeguards in place to eliminate or reduce to an acceptable level any threat to objectivity and independence in the conduct of the audit resulting from the provision of such services by the external auditor; the nature of the non-audit services; the fees incurred, or to be incurred, for non-audit services both for individual services and in aggregate, relative to the audit fee; and the criteria which govern the compensation of the individuals performing the audit.</w:t>
      </w:r>
    </w:p>
    <w:p w14:paraId="438D9513" w14:textId="77777777" w:rsidR="00FC788F" w:rsidRDefault="00FC788F" w:rsidP="00FC788F"/>
    <w:p w14:paraId="299CC2BC" w14:textId="77777777" w:rsidR="00FC788F" w:rsidRDefault="00FC788F" w:rsidP="00FC788F">
      <w:pPr>
        <w:pStyle w:val="ListParagraph"/>
        <w:numPr>
          <w:ilvl w:val="0"/>
          <w:numId w:val="48"/>
        </w:numPr>
      </w:pPr>
      <w:r>
        <w:t>The Committee sets and applies a policy specifying the types of non-audit service (if any) for which the use of the external auditor is pre-approved as a matter of policy, where the threats to independence are considered low; for which specific approval from the audit committee is required before they are contracted, where the size, nature or special terms and conditions of the service may give rise to threats to independence; and from which the external auditor is excluded.</w:t>
      </w:r>
    </w:p>
    <w:p w14:paraId="7DE76F0C" w14:textId="77777777" w:rsidR="00FC788F" w:rsidRDefault="00FC788F" w:rsidP="00FC788F"/>
    <w:p w14:paraId="329C2DE0" w14:textId="77777777" w:rsidR="00FC788F" w:rsidRDefault="00FC788F" w:rsidP="00FC788F">
      <w:pPr>
        <w:pStyle w:val="ListParagraph"/>
        <w:numPr>
          <w:ilvl w:val="0"/>
          <w:numId w:val="48"/>
        </w:numPr>
      </w:pPr>
      <w:r>
        <w:t xml:space="preserve">The Committee agrees with Board ICAEW policy for the employment of former employees of the external auditor, considering the Ethical Standards for Auditors and paying particular attention to the policy regarding former employees of the audit firm who were part of the audit team and moved directly to ICAEW. The Committee monitors application of the policy and </w:t>
      </w:r>
      <w:r>
        <w:lastRenderedPageBreak/>
        <w:t>considers whether in the light of this there has been any impairment, or appearance of impairment, of the auditor’s independence and objectivity in respect of the audit.</w:t>
      </w:r>
    </w:p>
    <w:p w14:paraId="2C98B06F" w14:textId="77777777" w:rsidR="00FC788F" w:rsidRDefault="00FC788F" w:rsidP="00FC788F"/>
    <w:p w14:paraId="78B565CB" w14:textId="77777777" w:rsidR="00FC788F" w:rsidRDefault="00FC788F" w:rsidP="00FC788F">
      <w:pPr>
        <w:pStyle w:val="ListParagraph"/>
        <w:numPr>
          <w:ilvl w:val="0"/>
          <w:numId w:val="48"/>
        </w:numPr>
      </w:pPr>
      <w:r>
        <w:t>The Committee monitors the external audit firm’s compliance with the Ethical Standards for Auditors relating to the rotation of audit partners. [Note: ICAEW policy is to require the rotation of the audit engagement partner after ten years].</w:t>
      </w:r>
    </w:p>
    <w:p w14:paraId="620F03EC" w14:textId="77777777" w:rsidR="00FC788F" w:rsidRDefault="00FC788F" w:rsidP="00FC788F"/>
    <w:p w14:paraId="26EE6C38" w14:textId="77777777" w:rsidR="00FC788F" w:rsidRPr="00E8485A" w:rsidRDefault="00FC788F" w:rsidP="00237779">
      <w:pPr>
        <w:pStyle w:val="BodyText"/>
        <w:spacing w:after="120"/>
      </w:pPr>
    </w:p>
    <w:sectPr w:rsidR="00FC788F" w:rsidRPr="00E8485A"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1EAB" w14:textId="77777777" w:rsidR="007D54D3" w:rsidRDefault="007D54D3">
      <w:r>
        <w:separator/>
      </w:r>
    </w:p>
  </w:endnote>
  <w:endnote w:type="continuationSeparator" w:id="0">
    <w:p w14:paraId="67E9267D" w14:textId="77777777" w:rsidR="007D54D3" w:rsidRDefault="007D54D3">
      <w:r>
        <w:continuationSeparator/>
      </w:r>
    </w:p>
  </w:endnote>
  <w:endnote w:type="continuationNotice" w:id="1">
    <w:p w14:paraId="3790B700" w14:textId="77777777" w:rsidR="007D54D3" w:rsidRDefault="007D5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6F6" w14:textId="77777777" w:rsidR="007B48F1" w:rsidRDefault="007B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39B" w14:textId="77777777" w:rsidR="00D359CF" w:rsidRDefault="00D359CF" w:rsidP="00D359CF"/>
  <w:p w14:paraId="42B7373F"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EFE0"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442E9D49" w14:textId="77777777" w:rsidTr="00427D52">
      <w:tc>
        <w:tcPr>
          <w:tcW w:w="4815" w:type="dxa"/>
          <w:tcBorders>
            <w:top w:val="single" w:sz="4" w:space="0" w:color="E30613" w:themeColor="background2"/>
          </w:tcBorders>
          <w:shd w:val="clear" w:color="auto" w:fill="auto"/>
        </w:tcPr>
        <w:p w14:paraId="62E15A63" w14:textId="77777777" w:rsidR="00C53111" w:rsidRPr="00953929" w:rsidRDefault="00C53111" w:rsidP="00427D52">
          <w:pPr>
            <w:pStyle w:val="Footer"/>
            <w:rPr>
              <w:sz w:val="8"/>
            </w:rPr>
          </w:pPr>
        </w:p>
        <w:p w14:paraId="7A556519" w14:textId="77777777" w:rsidR="00C53111" w:rsidRPr="00953929" w:rsidRDefault="007B50F1" w:rsidP="00427D52">
          <w:pPr>
            <w:pStyle w:val="Footer"/>
            <w:rPr>
              <w:b/>
              <w:sz w:val="8"/>
            </w:rPr>
          </w:pPr>
          <w:r>
            <w:rPr>
              <w:noProof/>
            </w:rPr>
            <w:fldChar w:fldCharType="begin"/>
          </w:r>
          <w:r>
            <w:rPr>
              <w:noProof/>
            </w:rPr>
            <w:instrText xml:space="preserve"> FILENAME   \* MERGEFORMAT </w:instrText>
          </w:r>
          <w:r>
            <w:rPr>
              <w:noProof/>
            </w:rPr>
            <w:fldChar w:fldCharType="separate"/>
          </w:r>
          <w:r w:rsidR="00F70AFC">
            <w:rPr>
              <w:noProof/>
            </w:rPr>
            <w:t>TOR 02.07 Remuneration Committee 02Aug2017.docx</w:t>
          </w:r>
          <w:r>
            <w:rPr>
              <w:noProof/>
            </w:rPr>
            <w:fldChar w:fldCharType="end"/>
          </w:r>
        </w:p>
      </w:tc>
      <w:tc>
        <w:tcPr>
          <w:tcW w:w="4816" w:type="dxa"/>
          <w:tcBorders>
            <w:top w:val="single" w:sz="4" w:space="0" w:color="E30613" w:themeColor="background2"/>
          </w:tcBorders>
          <w:shd w:val="clear" w:color="auto" w:fill="auto"/>
        </w:tcPr>
        <w:p w14:paraId="391467D1" w14:textId="77777777" w:rsidR="00C53111" w:rsidRPr="00953929" w:rsidRDefault="00C53111" w:rsidP="00427D52">
          <w:pPr>
            <w:pStyle w:val="Footer"/>
            <w:jc w:val="right"/>
            <w:rPr>
              <w:sz w:val="8"/>
            </w:rPr>
          </w:pPr>
        </w:p>
        <w:p w14:paraId="5EDFA0F4" w14:textId="77777777" w:rsidR="00C53111" w:rsidRPr="005E6231" w:rsidRDefault="00C53111" w:rsidP="00427D52">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70AFC">
            <w:fldChar w:fldCharType="begin"/>
          </w:r>
          <w:r w:rsidR="00F70AFC">
            <w:instrText xml:space="preserve"> numpages </w:instrText>
          </w:r>
          <w:r w:rsidR="00F70AFC">
            <w:fldChar w:fldCharType="separate"/>
          </w:r>
          <w:r w:rsidR="00F70AFC">
            <w:rPr>
              <w:noProof/>
            </w:rPr>
            <w:t>1</w:t>
          </w:r>
          <w:r w:rsidR="00F70AFC">
            <w:rPr>
              <w:noProof/>
            </w:rPr>
            <w:fldChar w:fldCharType="end"/>
          </w:r>
        </w:p>
      </w:tc>
    </w:tr>
  </w:tbl>
  <w:p w14:paraId="4B54E1E5"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5BF9" w14:textId="77777777" w:rsidR="007D54D3" w:rsidRDefault="007D54D3">
      <w:r>
        <w:separator/>
      </w:r>
    </w:p>
  </w:footnote>
  <w:footnote w:type="continuationSeparator" w:id="0">
    <w:p w14:paraId="59623E41" w14:textId="77777777" w:rsidR="007D54D3" w:rsidRDefault="007D54D3">
      <w:r>
        <w:continuationSeparator/>
      </w:r>
    </w:p>
  </w:footnote>
  <w:footnote w:type="continuationNotice" w:id="1">
    <w:p w14:paraId="44A2DCF1" w14:textId="77777777" w:rsidR="007D54D3" w:rsidRDefault="007D54D3">
      <w:pPr>
        <w:spacing w:line="240" w:lineRule="auto"/>
      </w:pPr>
    </w:p>
  </w:footnote>
  <w:footnote w:id="2">
    <w:p w14:paraId="7669D65E" w14:textId="1C9F3152" w:rsidR="0076000B" w:rsidRPr="0076000B" w:rsidRDefault="0076000B">
      <w:pPr>
        <w:pStyle w:val="FootnoteText"/>
        <w:rPr>
          <w:lang w:val="en-US"/>
        </w:rPr>
      </w:pPr>
      <w:r>
        <w:rPr>
          <w:rStyle w:val="FootnoteReference"/>
        </w:rPr>
        <w:footnoteRef/>
      </w:r>
      <w:r>
        <w:t xml:space="preserve"> </w:t>
      </w:r>
      <w:r>
        <w:rPr>
          <w:rStyle w:val="FootnoteReference"/>
        </w:rPr>
        <w:footnoteRef/>
      </w:r>
      <w:r>
        <w:t xml:space="preserve"> </w:t>
      </w:r>
      <w:r>
        <w:rPr>
          <w:sz w:val="18"/>
          <w:szCs w:val="18"/>
          <w:lang w:val="en-US"/>
        </w:rPr>
        <w:t>Any chair, vice-chair</w:t>
      </w:r>
      <w:r w:rsidRPr="004720D0">
        <w:rPr>
          <w:sz w:val="18"/>
          <w:szCs w:val="18"/>
          <w:lang w:val="en-US"/>
        </w:rPr>
        <w:t xml:space="preserve"> or member of an ICAEW committee or any other member who serves ICAEW on a voluntary basis</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6A5" w14:textId="77777777" w:rsidR="007B48F1" w:rsidRDefault="007B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581"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821E507" wp14:editId="575C0A32">
          <wp:simplePos x="0" y="0"/>
          <wp:positionH relativeFrom="column">
            <wp:posOffset>5638165</wp:posOffset>
          </wp:positionH>
          <wp:positionV relativeFrom="paragraph">
            <wp:posOffset>191135</wp:posOffset>
          </wp:positionV>
          <wp:extent cx="786240" cy="12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80C0" w14:textId="77777777" w:rsidR="007B48F1" w:rsidRDefault="007B48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AE6"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D14CBC"/>
    <w:multiLevelType w:val="multilevel"/>
    <w:tmpl w:val="701A384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8DE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437F22"/>
    <w:multiLevelType w:val="hybridMultilevel"/>
    <w:tmpl w:val="8D7EACF0"/>
    <w:lvl w:ilvl="0" w:tplc="6E563248">
      <w:start w:val="1"/>
      <w:numFmt w:val="decimal"/>
      <w:lvlText w:val="%1."/>
      <w:lvlJc w:val="left"/>
      <w:pPr>
        <w:ind w:left="1080" w:hanging="720"/>
      </w:pPr>
      <w:rPr>
        <w:rFonts w:hint="default"/>
      </w:rPr>
    </w:lvl>
    <w:lvl w:ilvl="1" w:tplc="F5F4152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7"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8" w15:restartNumberingAfterBreak="0">
    <w:nsid w:val="26386F8E"/>
    <w:multiLevelType w:val="multilevel"/>
    <w:tmpl w:val="0809001F"/>
    <w:lvl w:ilvl="0">
      <w:start w:val="1"/>
      <w:numFmt w:val="decimal"/>
      <w:lvlText w:val="%1."/>
      <w:lvlJc w:val="left"/>
      <w:pPr>
        <w:ind w:left="502"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004C06"/>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3" w15:restartNumberingAfterBreak="0">
    <w:nsid w:val="44DB3831"/>
    <w:multiLevelType w:val="hybridMultilevel"/>
    <w:tmpl w:val="EF9E1F2A"/>
    <w:lvl w:ilvl="0" w:tplc="E59296A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E12B04"/>
    <w:multiLevelType w:val="multilevel"/>
    <w:tmpl w:val="DAFEE8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6" w15:restartNumberingAfterBreak="0">
    <w:nsid w:val="66D414EE"/>
    <w:multiLevelType w:val="multilevel"/>
    <w:tmpl w:val="2BE094B4"/>
    <w:numStyleLink w:val="Bulletpoints"/>
  </w:abstractNum>
  <w:abstractNum w:abstractNumId="27" w15:restartNumberingAfterBreak="0">
    <w:nsid w:val="73252A8E"/>
    <w:multiLevelType w:val="hybridMultilevel"/>
    <w:tmpl w:val="39783A64"/>
    <w:lvl w:ilvl="0" w:tplc="7054E100">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9"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0999852">
    <w:abstractNumId w:val="19"/>
  </w:num>
  <w:num w:numId="2" w16cid:durableId="78061915">
    <w:abstractNumId w:val="11"/>
  </w:num>
  <w:num w:numId="3" w16cid:durableId="1598446244">
    <w:abstractNumId w:val="29"/>
  </w:num>
  <w:num w:numId="4" w16cid:durableId="1388577032">
    <w:abstractNumId w:val="25"/>
  </w:num>
  <w:num w:numId="5" w16cid:durableId="1479112842">
    <w:abstractNumId w:val="17"/>
  </w:num>
  <w:num w:numId="6" w16cid:durableId="9600480">
    <w:abstractNumId w:val="22"/>
  </w:num>
  <w:num w:numId="7" w16cid:durableId="747117881">
    <w:abstractNumId w:val="12"/>
  </w:num>
  <w:num w:numId="8" w16cid:durableId="691302043">
    <w:abstractNumId w:val="8"/>
  </w:num>
  <w:num w:numId="9" w16cid:durableId="918519365">
    <w:abstractNumId w:val="28"/>
  </w:num>
  <w:num w:numId="10" w16cid:durableId="2043896531">
    <w:abstractNumId w:val="16"/>
  </w:num>
  <w:num w:numId="11" w16cid:durableId="1402436996">
    <w:abstractNumId w:val="26"/>
  </w:num>
  <w:num w:numId="12" w16cid:durableId="517888192">
    <w:abstractNumId w:val="3"/>
  </w:num>
  <w:num w:numId="13" w16cid:durableId="1040056596">
    <w:abstractNumId w:val="2"/>
  </w:num>
  <w:num w:numId="14" w16cid:durableId="510417314">
    <w:abstractNumId w:val="9"/>
  </w:num>
  <w:num w:numId="15" w16cid:durableId="1591230368">
    <w:abstractNumId w:val="7"/>
  </w:num>
  <w:num w:numId="16" w16cid:durableId="585849416">
    <w:abstractNumId w:val="9"/>
  </w:num>
  <w:num w:numId="17" w16cid:durableId="1336302484">
    <w:abstractNumId w:val="7"/>
  </w:num>
  <w:num w:numId="18" w16cid:durableId="1491675708">
    <w:abstractNumId w:val="28"/>
  </w:num>
  <w:num w:numId="19" w16cid:durableId="1557887124">
    <w:abstractNumId w:val="3"/>
  </w:num>
  <w:num w:numId="20" w16cid:durableId="2009215161">
    <w:abstractNumId w:val="2"/>
  </w:num>
  <w:num w:numId="21" w16cid:durableId="150679115">
    <w:abstractNumId w:val="13"/>
  </w:num>
  <w:num w:numId="22" w16cid:durableId="1586449880">
    <w:abstractNumId w:val="6"/>
  </w:num>
  <w:num w:numId="23" w16cid:durableId="785781229">
    <w:abstractNumId w:val="5"/>
  </w:num>
  <w:num w:numId="24" w16cid:durableId="204222121">
    <w:abstractNumId w:val="4"/>
  </w:num>
  <w:num w:numId="25" w16cid:durableId="1291403547">
    <w:abstractNumId w:val="1"/>
  </w:num>
  <w:num w:numId="26" w16cid:durableId="310642917">
    <w:abstractNumId w:val="0"/>
  </w:num>
  <w:num w:numId="27" w16cid:durableId="1694333000">
    <w:abstractNumId w:val="21"/>
  </w:num>
  <w:num w:numId="28" w16cid:durableId="1439910254">
    <w:abstractNumId w:val="21"/>
  </w:num>
  <w:num w:numId="29" w16cid:durableId="107701186">
    <w:abstractNumId w:val="6"/>
  </w:num>
  <w:num w:numId="30" w16cid:durableId="1061947781">
    <w:abstractNumId w:val="28"/>
  </w:num>
  <w:num w:numId="31" w16cid:durableId="137387276">
    <w:abstractNumId w:val="28"/>
  </w:num>
  <w:num w:numId="32" w16cid:durableId="867836211">
    <w:abstractNumId w:val="28"/>
  </w:num>
  <w:num w:numId="33" w16cid:durableId="582494790">
    <w:abstractNumId w:val="21"/>
  </w:num>
  <w:num w:numId="34" w16cid:durableId="850487698">
    <w:abstractNumId w:val="16"/>
  </w:num>
  <w:num w:numId="35" w16cid:durableId="1627348153">
    <w:abstractNumId w:val="13"/>
  </w:num>
  <w:num w:numId="36" w16cid:durableId="1622569476">
    <w:abstractNumId w:val="13"/>
  </w:num>
  <w:num w:numId="37" w16cid:durableId="2079014437">
    <w:abstractNumId w:val="13"/>
  </w:num>
  <w:num w:numId="38" w16cid:durableId="1318417831">
    <w:abstractNumId w:val="28"/>
  </w:num>
  <w:num w:numId="39" w16cid:durableId="1878004904">
    <w:abstractNumId w:val="28"/>
  </w:num>
  <w:num w:numId="40" w16cid:durableId="1272323731">
    <w:abstractNumId w:val="28"/>
  </w:num>
  <w:num w:numId="41" w16cid:durableId="827357550">
    <w:abstractNumId w:val="14"/>
  </w:num>
  <w:num w:numId="42" w16cid:durableId="320354733">
    <w:abstractNumId w:val="15"/>
  </w:num>
  <w:num w:numId="43" w16cid:durableId="2091736795">
    <w:abstractNumId w:val="27"/>
  </w:num>
  <w:num w:numId="44" w16cid:durableId="53427838">
    <w:abstractNumId w:val="24"/>
  </w:num>
  <w:num w:numId="45" w16cid:durableId="1528055433">
    <w:abstractNumId w:val="18"/>
  </w:num>
  <w:num w:numId="46" w16cid:durableId="2063282971">
    <w:abstractNumId w:val="23"/>
  </w:num>
  <w:num w:numId="47" w16cid:durableId="1913851651">
    <w:abstractNumId w:val="10"/>
  </w:num>
  <w:num w:numId="48" w16cid:durableId="986470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5A"/>
    <w:rsid w:val="00011714"/>
    <w:rsid w:val="0002207F"/>
    <w:rsid w:val="00022914"/>
    <w:rsid w:val="00022A49"/>
    <w:rsid w:val="000252BD"/>
    <w:rsid w:val="00036B83"/>
    <w:rsid w:val="0004441E"/>
    <w:rsid w:val="00044F2A"/>
    <w:rsid w:val="000451D9"/>
    <w:rsid w:val="00046265"/>
    <w:rsid w:val="00046840"/>
    <w:rsid w:val="00047ED5"/>
    <w:rsid w:val="00050425"/>
    <w:rsid w:val="00055FB2"/>
    <w:rsid w:val="00060785"/>
    <w:rsid w:val="000624AD"/>
    <w:rsid w:val="000665A5"/>
    <w:rsid w:val="000824EE"/>
    <w:rsid w:val="000914DB"/>
    <w:rsid w:val="00096107"/>
    <w:rsid w:val="00096E01"/>
    <w:rsid w:val="00096FC2"/>
    <w:rsid w:val="000A6655"/>
    <w:rsid w:val="000A724C"/>
    <w:rsid w:val="000B7A15"/>
    <w:rsid w:val="000C5154"/>
    <w:rsid w:val="000C57CD"/>
    <w:rsid w:val="000D353A"/>
    <w:rsid w:val="000E21C5"/>
    <w:rsid w:val="000E738D"/>
    <w:rsid w:val="00100726"/>
    <w:rsid w:val="00105A88"/>
    <w:rsid w:val="001209C6"/>
    <w:rsid w:val="00121C59"/>
    <w:rsid w:val="001222B0"/>
    <w:rsid w:val="00122D1C"/>
    <w:rsid w:val="00125AF8"/>
    <w:rsid w:val="00126BFD"/>
    <w:rsid w:val="00131D9D"/>
    <w:rsid w:val="001330E8"/>
    <w:rsid w:val="00135EF5"/>
    <w:rsid w:val="00142C7B"/>
    <w:rsid w:val="0014394F"/>
    <w:rsid w:val="001503C3"/>
    <w:rsid w:val="00170447"/>
    <w:rsid w:val="001736AC"/>
    <w:rsid w:val="0018170C"/>
    <w:rsid w:val="001859E0"/>
    <w:rsid w:val="001873F0"/>
    <w:rsid w:val="00191962"/>
    <w:rsid w:val="00196302"/>
    <w:rsid w:val="001A3DD0"/>
    <w:rsid w:val="001A497B"/>
    <w:rsid w:val="001A6D7B"/>
    <w:rsid w:val="001B1995"/>
    <w:rsid w:val="001B381C"/>
    <w:rsid w:val="001D16DD"/>
    <w:rsid w:val="001D4A17"/>
    <w:rsid w:val="001F0156"/>
    <w:rsid w:val="002043BD"/>
    <w:rsid w:val="00231332"/>
    <w:rsid w:val="0023202B"/>
    <w:rsid w:val="00237779"/>
    <w:rsid w:val="00243055"/>
    <w:rsid w:val="00262519"/>
    <w:rsid w:val="00266693"/>
    <w:rsid w:val="002673B6"/>
    <w:rsid w:val="00270CC3"/>
    <w:rsid w:val="002742BB"/>
    <w:rsid w:val="00274DF6"/>
    <w:rsid w:val="002A18A8"/>
    <w:rsid w:val="002A4203"/>
    <w:rsid w:val="002B3ACC"/>
    <w:rsid w:val="002B5078"/>
    <w:rsid w:val="002B72FC"/>
    <w:rsid w:val="002C6D24"/>
    <w:rsid w:val="002D77F5"/>
    <w:rsid w:val="002E1E17"/>
    <w:rsid w:val="002E7C53"/>
    <w:rsid w:val="002F54B6"/>
    <w:rsid w:val="00301A7F"/>
    <w:rsid w:val="003133DB"/>
    <w:rsid w:val="00322535"/>
    <w:rsid w:val="00340C92"/>
    <w:rsid w:val="00345EDA"/>
    <w:rsid w:val="00350D17"/>
    <w:rsid w:val="00351EE2"/>
    <w:rsid w:val="00371A42"/>
    <w:rsid w:val="003756B5"/>
    <w:rsid w:val="00375790"/>
    <w:rsid w:val="00380268"/>
    <w:rsid w:val="00385631"/>
    <w:rsid w:val="00391BD8"/>
    <w:rsid w:val="0039400A"/>
    <w:rsid w:val="003B183E"/>
    <w:rsid w:val="003C0D98"/>
    <w:rsid w:val="003C2A34"/>
    <w:rsid w:val="003C4D3E"/>
    <w:rsid w:val="003C6B89"/>
    <w:rsid w:val="003D27B7"/>
    <w:rsid w:val="003E1EED"/>
    <w:rsid w:val="003E2BE0"/>
    <w:rsid w:val="003E3C81"/>
    <w:rsid w:val="003F733A"/>
    <w:rsid w:val="004077FD"/>
    <w:rsid w:val="00407C71"/>
    <w:rsid w:val="00407DA6"/>
    <w:rsid w:val="004148B9"/>
    <w:rsid w:val="0042424F"/>
    <w:rsid w:val="00427D52"/>
    <w:rsid w:val="00430E4E"/>
    <w:rsid w:val="00443D8F"/>
    <w:rsid w:val="00455DE7"/>
    <w:rsid w:val="0046302A"/>
    <w:rsid w:val="004633EB"/>
    <w:rsid w:val="00482F18"/>
    <w:rsid w:val="00490A4C"/>
    <w:rsid w:val="004930F5"/>
    <w:rsid w:val="004A452F"/>
    <w:rsid w:val="004A5AA0"/>
    <w:rsid w:val="004B3764"/>
    <w:rsid w:val="004B531E"/>
    <w:rsid w:val="004C59F1"/>
    <w:rsid w:val="004D30D6"/>
    <w:rsid w:val="004E676A"/>
    <w:rsid w:val="004F2309"/>
    <w:rsid w:val="004F41DD"/>
    <w:rsid w:val="004F799E"/>
    <w:rsid w:val="00501458"/>
    <w:rsid w:val="005105E7"/>
    <w:rsid w:val="0052510B"/>
    <w:rsid w:val="00525DBA"/>
    <w:rsid w:val="005279C7"/>
    <w:rsid w:val="00533D06"/>
    <w:rsid w:val="005421E2"/>
    <w:rsid w:val="00543199"/>
    <w:rsid w:val="005459E1"/>
    <w:rsid w:val="0054793D"/>
    <w:rsid w:val="005617A0"/>
    <w:rsid w:val="005630D6"/>
    <w:rsid w:val="0057083A"/>
    <w:rsid w:val="005806CD"/>
    <w:rsid w:val="0059787B"/>
    <w:rsid w:val="005A7E6A"/>
    <w:rsid w:val="005B3611"/>
    <w:rsid w:val="005B673C"/>
    <w:rsid w:val="005C0AF5"/>
    <w:rsid w:val="005C6653"/>
    <w:rsid w:val="005D2263"/>
    <w:rsid w:val="005E2C23"/>
    <w:rsid w:val="005E76A8"/>
    <w:rsid w:val="00602D54"/>
    <w:rsid w:val="00603223"/>
    <w:rsid w:val="006114E2"/>
    <w:rsid w:val="00634B12"/>
    <w:rsid w:val="00634DAB"/>
    <w:rsid w:val="00635029"/>
    <w:rsid w:val="00644A9E"/>
    <w:rsid w:val="006547A7"/>
    <w:rsid w:val="006669C4"/>
    <w:rsid w:val="0067376F"/>
    <w:rsid w:val="00674AA8"/>
    <w:rsid w:val="00692D4B"/>
    <w:rsid w:val="00695392"/>
    <w:rsid w:val="00696621"/>
    <w:rsid w:val="006A6639"/>
    <w:rsid w:val="006B11D0"/>
    <w:rsid w:val="006B50B0"/>
    <w:rsid w:val="006C36DB"/>
    <w:rsid w:val="006D3ED7"/>
    <w:rsid w:val="006E23B1"/>
    <w:rsid w:val="006E3BC3"/>
    <w:rsid w:val="006F1F36"/>
    <w:rsid w:val="006F5165"/>
    <w:rsid w:val="006F585D"/>
    <w:rsid w:val="006F6EF8"/>
    <w:rsid w:val="00706FD2"/>
    <w:rsid w:val="0071085C"/>
    <w:rsid w:val="00711119"/>
    <w:rsid w:val="007252B9"/>
    <w:rsid w:val="00726F35"/>
    <w:rsid w:val="0076000B"/>
    <w:rsid w:val="00762E4F"/>
    <w:rsid w:val="007719E4"/>
    <w:rsid w:val="00772BFB"/>
    <w:rsid w:val="007758E5"/>
    <w:rsid w:val="007869A1"/>
    <w:rsid w:val="00797094"/>
    <w:rsid w:val="007A675B"/>
    <w:rsid w:val="007A695A"/>
    <w:rsid w:val="007B37DD"/>
    <w:rsid w:val="007B48F1"/>
    <w:rsid w:val="007B50F1"/>
    <w:rsid w:val="007C2309"/>
    <w:rsid w:val="007C7DA6"/>
    <w:rsid w:val="007C7F52"/>
    <w:rsid w:val="007D02FF"/>
    <w:rsid w:val="007D54D3"/>
    <w:rsid w:val="007D5BEC"/>
    <w:rsid w:val="007E0846"/>
    <w:rsid w:val="00812575"/>
    <w:rsid w:val="00814B30"/>
    <w:rsid w:val="00835B22"/>
    <w:rsid w:val="0086003C"/>
    <w:rsid w:val="0086056D"/>
    <w:rsid w:val="00862066"/>
    <w:rsid w:val="00877929"/>
    <w:rsid w:val="00880DF2"/>
    <w:rsid w:val="00883F4D"/>
    <w:rsid w:val="00885F9A"/>
    <w:rsid w:val="00894D88"/>
    <w:rsid w:val="008B1D9E"/>
    <w:rsid w:val="008B53F2"/>
    <w:rsid w:val="008D189F"/>
    <w:rsid w:val="008D21EA"/>
    <w:rsid w:val="008D252D"/>
    <w:rsid w:val="008D6BDF"/>
    <w:rsid w:val="008D7527"/>
    <w:rsid w:val="008E0C43"/>
    <w:rsid w:val="008E72F4"/>
    <w:rsid w:val="00901D81"/>
    <w:rsid w:val="009129A9"/>
    <w:rsid w:val="00912C7F"/>
    <w:rsid w:val="00937C61"/>
    <w:rsid w:val="009454AA"/>
    <w:rsid w:val="00946C98"/>
    <w:rsid w:val="00951728"/>
    <w:rsid w:val="009533A0"/>
    <w:rsid w:val="0096735F"/>
    <w:rsid w:val="00967411"/>
    <w:rsid w:val="00971307"/>
    <w:rsid w:val="009759B7"/>
    <w:rsid w:val="00977180"/>
    <w:rsid w:val="0098049C"/>
    <w:rsid w:val="009865F8"/>
    <w:rsid w:val="00994736"/>
    <w:rsid w:val="009969D1"/>
    <w:rsid w:val="009A00B3"/>
    <w:rsid w:val="009A0E96"/>
    <w:rsid w:val="009B436C"/>
    <w:rsid w:val="009C40A5"/>
    <w:rsid w:val="009D0157"/>
    <w:rsid w:val="009D0454"/>
    <w:rsid w:val="009D4FC8"/>
    <w:rsid w:val="009E3E39"/>
    <w:rsid w:val="009E4F34"/>
    <w:rsid w:val="009E5FAA"/>
    <w:rsid w:val="009F1613"/>
    <w:rsid w:val="009F621E"/>
    <w:rsid w:val="009F7766"/>
    <w:rsid w:val="00A0012D"/>
    <w:rsid w:val="00A1185D"/>
    <w:rsid w:val="00A123A7"/>
    <w:rsid w:val="00A13645"/>
    <w:rsid w:val="00A33B44"/>
    <w:rsid w:val="00A428AC"/>
    <w:rsid w:val="00A574DD"/>
    <w:rsid w:val="00A57C9F"/>
    <w:rsid w:val="00A62429"/>
    <w:rsid w:val="00A7500C"/>
    <w:rsid w:val="00A814AF"/>
    <w:rsid w:val="00A828F0"/>
    <w:rsid w:val="00A852DF"/>
    <w:rsid w:val="00A85EC1"/>
    <w:rsid w:val="00A95004"/>
    <w:rsid w:val="00A95355"/>
    <w:rsid w:val="00A96947"/>
    <w:rsid w:val="00A979F5"/>
    <w:rsid w:val="00AB4D8B"/>
    <w:rsid w:val="00AB5BE6"/>
    <w:rsid w:val="00AF4A0D"/>
    <w:rsid w:val="00B03BD7"/>
    <w:rsid w:val="00B11F7F"/>
    <w:rsid w:val="00B1488D"/>
    <w:rsid w:val="00B21FE9"/>
    <w:rsid w:val="00B22F3D"/>
    <w:rsid w:val="00B25971"/>
    <w:rsid w:val="00B2678F"/>
    <w:rsid w:val="00B446CF"/>
    <w:rsid w:val="00B503C4"/>
    <w:rsid w:val="00B53EF6"/>
    <w:rsid w:val="00B60C4C"/>
    <w:rsid w:val="00B6410D"/>
    <w:rsid w:val="00B64E7A"/>
    <w:rsid w:val="00B679BD"/>
    <w:rsid w:val="00B80B19"/>
    <w:rsid w:val="00B84DB6"/>
    <w:rsid w:val="00B920DE"/>
    <w:rsid w:val="00BC303F"/>
    <w:rsid w:val="00BC3EAD"/>
    <w:rsid w:val="00BD1FA3"/>
    <w:rsid w:val="00BE639E"/>
    <w:rsid w:val="00BE6A6B"/>
    <w:rsid w:val="00BF77C3"/>
    <w:rsid w:val="00C01E89"/>
    <w:rsid w:val="00C04351"/>
    <w:rsid w:val="00C11997"/>
    <w:rsid w:val="00C15C08"/>
    <w:rsid w:val="00C225B9"/>
    <w:rsid w:val="00C233A4"/>
    <w:rsid w:val="00C24234"/>
    <w:rsid w:val="00C2430D"/>
    <w:rsid w:val="00C3099F"/>
    <w:rsid w:val="00C44E9A"/>
    <w:rsid w:val="00C53111"/>
    <w:rsid w:val="00C55667"/>
    <w:rsid w:val="00C62103"/>
    <w:rsid w:val="00C64680"/>
    <w:rsid w:val="00C6512B"/>
    <w:rsid w:val="00C7048D"/>
    <w:rsid w:val="00C72BB0"/>
    <w:rsid w:val="00C75869"/>
    <w:rsid w:val="00C837C3"/>
    <w:rsid w:val="00C844B1"/>
    <w:rsid w:val="00C876D4"/>
    <w:rsid w:val="00C87E8D"/>
    <w:rsid w:val="00C90AC1"/>
    <w:rsid w:val="00C93B9C"/>
    <w:rsid w:val="00C94D19"/>
    <w:rsid w:val="00CD5131"/>
    <w:rsid w:val="00CF0D41"/>
    <w:rsid w:val="00CF2EF9"/>
    <w:rsid w:val="00D0057B"/>
    <w:rsid w:val="00D016C7"/>
    <w:rsid w:val="00D07BC7"/>
    <w:rsid w:val="00D10BD3"/>
    <w:rsid w:val="00D2425D"/>
    <w:rsid w:val="00D314A0"/>
    <w:rsid w:val="00D353D0"/>
    <w:rsid w:val="00D359CF"/>
    <w:rsid w:val="00D45535"/>
    <w:rsid w:val="00D53A76"/>
    <w:rsid w:val="00D53BE4"/>
    <w:rsid w:val="00D57961"/>
    <w:rsid w:val="00D62ED9"/>
    <w:rsid w:val="00D72B16"/>
    <w:rsid w:val="00D90AEE"/>
    <w:rsid w:val="00D94457"/>
    <w:rsid w:val="00DB5D94"/>
    <w:rsid w:val="00DC16F2"/>
    <w:rsid w:val="00DC33F8"/>
    <w:rsid w:val="00DD5301"/>
    <w:rsid w:val="00DD5954"/>
    <w:rsid w:val="00DE0894"/>
    <w:rsid w:val="00DF4275"/>
    <w:rsid w:val="00E01AA0"/>
    <w:rsid w:val="00E25048"/>
    <w:rsid w:val="00E41D4D"/>
    <w:rsid w:val="00E447FC"/>
    <w:rsid w:val="00E60A96"/>
    <w:rsid w:val="00E616EC"/>
    <w:rsid w:val="00E81769"/>
    <w:rsid w:val="00E8485A"/>
    <w:rsid w:val="00E85671"/>
    <w:rsid w:val="00E86EAE"/>
    <w:rsid w:val="00E951EB"/>
    <w:rsid w:val="00EA6075"/>
    <w:rsid w:val="00EA78CC"/>
    <w:rsid w:val="00EB3D40"/>
    <w:rsid w:val="00EC4B79"/>
    <w:rsid w:val="00ED3D13"/>
    <w:rsid w:val="00EE2126"/>
    <w:rsid w:val="00EE6B2C"/>
    <w:rsid w:val="00EF421E"/>
    <w:rsid w:val="00EF7C74"/>
    <w:rsid w:val="00F019A3"/>
    <w:rsid w:val="00F06AA6"/>
    <w:rsid w:val="00F1102D"/>
    <w:rsid w:val="00F238CD"/>
    <w:rsid w:val="00F30E8F"/>
    <w:rsid w:val="00F4732A"/>
    <w:rsid w:val="00F51095"/>
    <w:rsid w:val="00F53892"/>
    <w:rsid w:val="00F617E2"/>
    <w:rsid w:val="00F61CF8"/>
    <w:rsid w:val="00F70AFC"/>
    <w:rsid w:val="00F82BF1"/>
    <w:rsid w:val="00F87665"/>
    <w:rsid w:val="00FA5F67"/>
    <w:rsid w:val="00FC0FEA"/>
    <w:rsid w:val="00FC4DA0"/>
    <w:rsid w:val="00FC788F"/>
    <w:rsid w:val="00FD10C3"/>
    <w:rsid w:val="00FD12E2"/>
    <w:rsid w:val="00FD13E0"/>
    <w:rsid w:val="00FD1A9B"/>
    <w:rsid w:val="00FD6815"/>
    <w:rsid w:val="00FF244C"/>
    <w:rsid w:val="00FF5610"/>
    <w:rsid w:val="00FF584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4246"/>
  <w15:docId w15:val="{67853915-EEF8-4797-98FF-AFDF61E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styleId="CommentReference">
    <w:name w:val="annotation reference"/>
    <w:basedOn w:val="DefaultParagraphFont"/>
    <w:semiHidden/>
    <w:unhideWhenUsed/>
    <w:rsid w:val="00603223"/>
    <w:rPr>
      <w:sz w:val="16"/>
      <w:szCs w:val="16"/>
    </w:rPr>
  </w:style>
  <w:style w:type="paragraph" w:styleId="CommentText">
    <w:name w:val="annotation text"/>
    <w:basedOn w:val="Normal"/>
    <w:link w:val="CommentTextChar"/>
    <w:unhideWhenUsed/>
    <w:rsid w:val="00603223"/>
    <w:pPr>
      <w:spacing w:line="240" w:lineRule="auto"/>
    </w:pPr>
    <w:rPr>
      <w:sz w:val="20"/>
      <w:szCs w:val="20"/>
    </w:rPr>
  </w:style>
  <w:style w:type="character" w:customStyle="1" w:styleId="CommentTextChar">
    <w:name w:val="Comment Text Char"/>
    <w:basedOn w:val="DefaultParagraphFont"/>
    <w:link w:val="CommentText"/>
    <w:rsid w:val="00603223"/>
    <w:rPr>
      <w:rFonts w:ascii="Arial" w:hAnsi="Arial"/>
    </w:rPr>
  </w:style>
  <w:style w:type="paragraph" w:styleId="CommentSubject">
    <w:name w:val="annotation subject"/>
    <w:basedOn w:val="CommentText"/>
    <w:next w:val="CommentText"/>
    <w:link w:val="CommentSubjectChar"/>
    <w:semiHidden/>
    <w:unhideWhenUsed/>
    <w:rsid w:val="00603223"/>
    <w:rPr>
      <w:b/>
      <w:bCs/>
    </w:rPr>
  </w:style>
  <w:style w:type="character" w:customStyle="1" w:styleId="CommentSubjectChar">
    <w:name w:val="Comment Subject Char"/>
    <w:basedOn w:val="CommentTextChar"/>
    <w:link w:val="CommentSubject"/>
    <w:semiHidden/>
    <w:rsid w:val="00603223"/>
    <w:rPr>
      <w:rFonts w:ascii="Arial" w:hAnsi="Arial"/>
      <w:b/>
      <w:bCs/>
    </w:rPr>
  </w:style>
  <w:style w:type="paragraph" w:styleId="Revision">
    <w:name w:val="Revision"/>
    <w:hidden/>
    <w:uiPriority w:val="99"/>
    <w:semiHidden/>
    <w:rsid w:val="005B673C"/>
    <w:rPr>
      <w:rFonts w:ascii="Arial" w:hAnsi="Arial"/>
      <w:sz w:val="22"/>
      <w:szCs w:val="22"/>
    </w:rPr>
  </w:style>
  <w:style w:type="paragraph" w:styleId="ListParagraph">
    <w:name w:val="List Paragraph"/>
    <w:basedOn w:val="Normal"/>
    <w:uiPriority w:val="34"/>
    <w:qFormat/>
    <w:rsid w:val="00674AA8"/>
    <w:pPr>
      <w:ind w:left="720"/>
      <w:contextualSpacing/>
    </w:pPr>
  </w:style>
  <w:style w:type="paragraph" w:styleId="FootnoteText">
    <w:name w:val="footnote text"/>
    <w:basedOn w:val="Normal"/>
    <w:link w:val="FootnoteTextChar"/>
    <w:uiPriority w:val="99"/>
    <w:unhideWhenUsed/>
    <w:rsid w:val="001209C6"/>
    <w:pPr>
      <w:spacing w:line="240" w:lineRule="auto"/>
    </w:pPr>
    <w:rPr>
      <w:sz w:val="20"/>
      <w:szCs w:val="20"/>
    </w:rPr>
  </w:style>
  <w:style w:type="character" w:customStyle="1" w:styleId="FootnoteTextChar">
    <w:name w:val="Footnote Text Char"/>
    <w:basedOn w:val="DefaultParagraphFont"/>
    <w:link w:val="FootnoteText"/>
    <w:uiPriority w:val="99"/>
    <w:rsid w:val="001209C6"/>
    <w:rPr>
      <w:rFonts w:ascii="Arial" w:hAnsi="Arial"/>
    </w:rPr>
  </w:style>
  <w:style w:type="character" w:styleId="FootnoteReference">
    <w:name w:val="footnote reference"/>
    <w:basedOn w:val="DefaultParagraphFont"/>
    <w:uiPriority w:val="99"/>
    <w:unhideWhenUsed/>
    <w:rsid w:val="001209C6"/>
    <w:rPr>
      <w:vertAlign w:val="superscript"/>
    </w:rPr>
  </w:style>
  <w:style w:type="character" w:customStyle="1" w:styleId="normaltextrun">
    <w:name w:val="normaltextrun"/>
    <w:basedOn w:val="DefaultParagraphFont"/>
    <w:rsid w:val="003C2A34"/>
  </w:style>
  <w:style w:type="paragraph" w:customStyle="1" w:styleId="paragraph">
    <w:name w:val="paragraph"/>
    <w:basedOn w:val="Normal"/>
    <w:rsid w:val="003C2A3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 E U ! 4 6 9 8 4 8 6 6 . 3 < / d o c u m e n t i d >  
     < s e n d e r i d > E H L < / s e n d e r i d >  
     < s e n d e r e m a i l > E T H A N . L E E S @ W I T H E R S W O R L D W I D E . C O M < / s e n d e r e m a i l >  
     < l a s t m o d i f i e d > 2 0 2 5 - 0 1 - 2 1 T 1 6 : 0 5 : 0 0 . 0 0 0 0 0 0 0 + 0 0 : 0 0 < / l a s t m o d i f i e d >  
     < d a t a b a s e > E U < / 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E4E766F18B74E8325D971750679D4" ma:contentTypeVersion="6" ma:contentTypeDescription="Create a new document." ma:contentTypeScope="" ma:versionID="1bd029ac33803fb2c30df1a84aefe61f">
  <xsd:schema xmlns:xsd="http://www.w3.org/2001/XMLSchema" xmlns:xs="http://www.w3.org/2001/XMLSchema" xmlns:p="http://schemas.microsoft.com/office/2006/metadata/properties" xmlns:ns2="6e9fcffe-6b60-48bc-961e-143cb50e0a43" xmlns:ns3="439bf64f-24da-40f6-85ec-533cb0e3d17a" targetNamespace="http://schemas.microsoft.com/office/2006/metadata/properties" ma:root="true" ma:fieldsID="366e4d18d0e0c98e64abf7224d3c06cd" ns2:_="" ns3:_="">
    <xsd:import namespace="6e9fcffe-6b60-48bc-961e-143cb50e0a43"/>
    <xsd:import namespace="439bf64f-24da-40f6-85ec-533cb0e3d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fcffe-6b60-48bc-961e-143cb50e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f64f-24da-40f6-85ec-533cb0e3d1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1FFC-B747-4531-BC16-E691D913D71B}">
  <ds:schemaRefs>
    <ds:schemaRef ds:uri="http://www.imanage.com/work/xmlschema"/>
  </ds:schemaRefs>
</ds:datastoreItem>
</file>

<file path=customXml/itemProps2.xml><?xml version="1.0" encoding="utf-8"?>
<ds:datastoreItem xmlns:ds="http://schemas.openxmlformats.org/officeDocument/2006/customXml" ds:itemID="{603F1A54-47B5-4D34-AC80-9B0D575D40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54488-ACEA-47AA-AF1A-8A5EE2B1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fcffe-6b60-48bc-961e-143cb50e0a43"/>
    <ds:schemaRef ds:uri="439bf64f-24da-40f6-85ec-533cb0e3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C608C-6A41-4B64-94B4-9D3C477C8934}">
  <ds:schemaRefs>
    <ds:schemaRef ds:uri="http://schemas.microsoft.com/sharepoint/v3/contenttype/forms"/>
  </ds:schemaRefs>
</ds:datastoreItem>
</file>

<file path=customXml/itemProps5.xml><?xml version="1.0" encoding="utf-8"?>
<ds:datastoreItem xmlns:ds="http://schemas.openxmlformats.org/officeDocument/2006/customXml" ds:itemID="{3E0C20F2-1080-4DC1-B003-41650136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3</TotalTime>
  <Pages>8</Pages>
  <Words>2778</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Hampton</dc:creator>
  <cp:lastModifiedBy>Jennifer Smith</cp:lastModifiedBy>
  <cp:revision>3</cp:revision>
  <cp:lastPrinted>1900-01-01T00:00:00Z</cp:lastPrinted>
  <dcterms:created xsi:type="dcterms:W3CDTF">2025-01-31T09:32:00Z</dcterms:created>
  <dcterms:modified xsi:type="dcterms:W3CDTF">2025-01-31T15:10:00Z</dcterms:modified>
</cp:coreProperties>
</file>