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B0FE" w14:textId="77777777" w:rsidR="009F7766" w:rsidRDefault="009F7766" w:rsidP="004D30D6">
      <w:pPr>
        <w:sectPr w:rsidR="009F7766" w:rsidSect="002F54B6">
          <w:headerReference w:type="even" r:id="rId12"/>
          <w:headerReference w:type="default" r:id="rId13"/>
          <w:footerReference w:type="even" r:id="rId14"/>
          <w:footerReference w:type="default" r:id="rId15"/>
          <w:headerReference w:type="first" r:id="rId16"/>
          <w:footerReference w:type="first" r:id="rId17"/>
          <w:pgSz w:w="11909" w:h="16834" w:code="9"/>
          <w:pgMar w:top="1134" w:right="1134" w:bottom="1134" w:left="1134" w:header="284" w:footer="510" w:gutter="0"/>
          <w:cols w:space="720"/>
        </w:sectPr>
      </w:pPr>
    </w:p>
    <w:p w14:paraId="124CD240" w14:textId="31FDCB9C" w:rsidR="00170447" w:rsidRDefault="00823A0E" w:rsidP="00FF5610">
      <w:pPr>
        <w:pStyle w:val="Title"/>
        <w:spacing w:before="0"/>
      </w:pPr>
      <w:r>
        <w:t xml:space="preserve">Board Nomination </w:t>
      </w:r>
      <w:r w:rsidR="00E8485A">
        <w:t>Committee</w:t>
      </w:r>
    </w:p>
    <w:p w14:paraId="282A89CA" w14:textId="3B7D278F" w:rsidR="00170447" w:rsidRDefault="00E8485A" w:rsidP="00170447">
      <w:pPr>
        <w:pStyle w:val="Heading2"/>
      </w:pPr>
      <w:r>
        <w:t>terms of reference</w:t>
      </w:r>
    </w:p>
    <w:p w14:paraId="02F4C821" w14:textId="146ECEFD" w:rsidR="00E8485A" w:rsidRDefault="005B673C" w:rsidP="00E8485A">
      <w:pPr>
        <w:pStyle w:val="Heading3"/>
      </w:pPr>
      <w:r>
        <w:t xml:space="preserve">Purpose and </w:t>
      </w:r>
      <w:r w:rsidR="00E8485A">
        <w:t>Accountability</w:t>
      </w:r>
    </w:p>
    <w:p w14:paraId="6DF74FF4" w14:textId="202BC750" w:rsidR="005B673C" w:rsidRDefault="005B673C" w:rsidP="005B673C">
      <w:pPr>
        <w:pStyle w:val="BodyText"/>
        <w:numPr>
          <w:ilvl w:val="0"/>
          <w:numId w:val="41"/>
        </w:numPr>
        <w:spacing w:after="120"/>
      </w:pPr>
      <w:r>
        <w:t xml:space="preserve">The </w:t>
      </w:r>
      <w:r w:rsidR="00823A0E">
        <w:t xml:space="preserve">Board Nomination </w:t>
      </w:r>
      <w:r>
        <w:t xml:space="preserve">Committee </w:t>
      </w:r>
      <w:r w:rsidR="00937C61">
        <w:t>has delegated responsibility</w:t>
      </w:r>
      <w:r w:rsidR="00CF2EF9">
        <w:t xml:space="preserve"> for</w:t>
      </w:r>
      <w:r>
        <w:t xml:space="preserve"> </w:t>
      </w:r>
      <w:r w:rsidR="003E1EED">
        <w:t xml:space="preserve">policy </w:t>
      </w:r>
      <w:r>
        <w:t xml:space="preserve">matters relating to </w:t>
      </w:r>
      <w:r w:rsidR="00430681">
        <w:t xml:space="preserve">the </w:t>
      </w:r>
      <w:r w:rsidR="00823A0E">
        <w:t xml:space="preserve">appointment, removal and succession planning for Board members and </w:t>
      </w:r>
      <w:r w:rsidR="00E12EEA">
        <w:t>s</w:t>
      </w:r>
      <w:r w:rsidR="00823A0E">
        <w:t>enior management</w:t>
      </w:r>
      <w:r w:rsidR="00823A0E">
        <w:rPr>
          <w:rStyle w:val="FootnoteReference"/>
        </w:rPr>
        <w:footnoteReference w:id="2"/>
      </w:r>
    </w:p>
    <w:p w14:paraId="03AE40E1" w14:textId="2F310B5D" w:rsidR="00E8485A" w:rsidRDefault="00E8485A" w:rsidP="005B673C">
      <w:pPr>
        <w:pStyle w:val="BodyText"/>
        <w:numPr>
          <w:ilvl w:val="0"/>
          <w:numId w:val="41"/>
        </w:numPr>
        <w:spacing w:after="120"/>
      </w:pPr>
      <w:r>
        <w:t xml:space="preserve">The </w:t>
      </w:r>
      <w:r w:rsidR="00223D7D">
        <w:t xml:space="preserve">Board Nomination </w:t>
      </w:r>
      <w:r>
        <w:t>Committee is accountable to ICAEW Board.</w:t>
      </w:r>
    </w:p>
    <w:p w14:paraId="27311695" w14:textId="590B4A65" w:rsidR="00823A0E" w:rsidRDefault="00823A0E" w:rsidP="005B673C">
      <w:pPr>
        <w:pStyle w:val="BodyText"/>
        <w:numPr>
          <w:ilvl w:val="0"/>
          <w:numId w:val="41"/>
        </w:numPr>
        <w:spacing w:after="120"/>
      </w:pPr>
      <w:r>
        <w:t>Committee recommendations are agreed by the Governance and Appointments Committee before they are presented to the ICAEW Board for approval. Committee recommendations for the appointment of the Chief Executive and Board Chair require Council approval before they are confirmed.</w:t>
      </w:r>
    </w:p>
    <w:p w14:paraId="1A22C279" w14:textId="662B2BB7" w:rsidR="00823A0E" w:rsidRDefault="00823A0E" w:rsidP="005B673C">
      <w:pPr>
        <w:pStyle w:val="BodyText"/>
        <w:numPr>
          <w:ilvl w:val="0"/>
          <w:numId w:val="41"/>
        </w:numPr>
        <w:spacing w:after="120"/>
      </w:pPr>
      <w:r>
        <w:t>Board Nomination Committee recommendations and ICAEW Board decisions are reported to Council.</w:t>
      </w:r>
    </w:p>
    <w:p w14:paraId="20D067E2" w14:textId="77777777" w:rsidR="00D72B16" w:rsidRDefault="00D72B16" w:rsidP="00D72B16">
      <w:pPr>
        <w:pStyle w:val="BodyText"/>
        <w:ind w:left="360"/>
      </w:pPr>
    </w:p>
    <w:p w14:paraId="2973D3AC" w14:textId="77777777" w:rsidR="00E8485A" w:rsidRDefault="00E8485A" w:rsidP="00E8485A">
      <w:pPr>
        <w:pStyle w:val="Heading3"/>
      </w:pPr>
      <w:r>
        <w:t>Composition</w:t>
      </w:r>
    </w:p>
    <w:p w14:paraId="5B8C3125" w14:textId="13120112" w:rsidR="00E8485A" w:rsidRDefault="00E8485A" w:rsidP="005B673C">
      <w:pPr>
        <w:pStyle w:val="BodyText"/>
        <w:numPr>
          <w:ilvl w:val="0"/>
          <w:numId w:val="41"/>
        </w:numPr>
        <w:spacing w:after="120"/>
      </w:pPr>
      <w:r>
        <w:t xml:space="preserve">The Committee comprises up to </w:t>
      </w:r>
      <w:r w:rsidR="00F06AA6" w:rsidRPr="00F82BF1">
        <w:t>five</w:t>
      </w:r>
      <w:r w:rsidR="005B673C">
        <w:t xml:space="preserve"> </w:t>
      </w:r>
      <w:r>
        <w:t>members</w:t>
      </w:r>
      <w:r w:rsidR="001209C6">
        <w:t xml:space="preserve">, appointed </w:t>
      </w:r>
      <w:proofErr w:type="gramStart"/>
      <w:r w:rsidR="001209C6">
        <w:t>on the basis of</w:t>
      </w:r>
      <w:proofErr w:type="gramEnd"/>
      <w:r w:rsidR="001209C6">
        <w:t xml:space="preserve"> their skills and expertise</w:t>
      </w:r>
      <w:r>
        <w:t xml:space="preserve">. </w:t>
      </w:r>
    </w:p>
    <w:p w14:paraId="0A638638" w14:textId="77777777" w:rsidR="00430681" w:rsidRDefault="005B673C" w:rsidP="00430681">
      <w:pPr>
        <w:pStyle w:val="BodyText"/>
        <w:numPr>
          <w:ilvl w:val="0"/>
          <w:numId w:val="41"/>
        </w:numPr>
        <w:spacing w:after="120"/>
      </w:pPr>
      <w:proofErr w:type="gramStart"/>
      <w:r>
        <w:t xml:space="preserve">The majority </w:t>
      </w:r>
      <w:r w:rsidR="008B1D9E">
        <w:t>of</w:t>
      </w:r>
      <w:proofErr w:type="gramEnd"/>
      <w:r w:rsidR="008B1D9E">
        <w:t xml:space="preserve"> the members of the Committee must be </w:t>
      </w:r>
      <w:r w:rsidR="00F617E2">
        <w:t xml:space="preserve">non-executive </w:t>
      </w:r>
      <w:r w:rsidR="008B1D9E">
        <w:t>members of ICAEW Board.</w:t>
      </w:r>
    </w:p>
    <w:p w14:paraId="01CD1822" w14:textId="1D6073C2" w:rsidR="00430681" w:rsidRDefault="00430681" w:rsidP="00430681">
      <w:pPr>
        <w:pStyle w:val="BodyText"/>
        <w:numPr>
          <w:ilvl w:val="0"/>
          <w:numId w:val="41"/>
        </w:numPr>
        <w:spacing w:after="120"/>
      </w:pPr>
      <w:bookmarkStart w:id="0" w:name="_Hlk188457270"/>
      <w:r>
        <w:t xml:space="preserve">The Chair of the Committee is a member of ICAEW Board. </w:t>
      </w:r>
      <w:r w:rsidR="00C909D6">
        <w:t>The</w:t>
      </w:r>
      <w:r w:rsidR="00A46DE1">
        <w:t xml:space="preserve"> </w:t>
      </w:r>
      <w:r>
        <w:t xml:space="preserve">President may </w:t>
      </w:r>
      <w:r w:rsidR="00C909D6">
        <w:t xml:space="preserve">not </w:t>
      </w:r>
      <w:r>
        <w:t>chair the Committee</w:t>
      </w:r>
      <w:r w:rsidR="00C909D6">
        <w:t xml:space="preserve"> and the Chair of ICAEW Board may not chair the Committee when it is dealing with the appointment of their successor. </w:t>
      </w:r>
    </w:p>
    <w:bookmarkEnd w:id="0"/>
    <w:p w14:paraId="065F286C" w14:textId="77777777" w:rsidR="009A00B3" w:rsidRDefault="009A00B3" w:rsidP="009A00B3">
      <w:pPr>
        <w:pStyle w:val="BodyText"/>
        <w:numPr>
          <w:ilvl w:val="0"/>
          <w:numId w:val="41"/>
        </w:numPr>
        <w:spacing w:after="120"/>
      </w:pPr>
      <w:r>
        <w:t>No member of ICAEW staff may be a member of the Committee.</w:t>
      </w:r>
    </w:p>
    <w:p w14:paraId="0B9E60D3" w14:textId="77777777" w:rsidR="009A00B3" w:rsidRPr="000914DB" w:rsidRDefault="009A00B3" w:rsidP="009A00B3">
      <w:pPr>
        <w:pStyle w:val="BodyText"/>
        <w:numPr>
          <w:ilvl w:val="0"/>
          <w:numId w:val="41"/>
        </w:numPr>
        <w:spacing w:after="120"/>
      </w:pPr>
      <w:r w:rsidRPr="000914DB">
        <w:t xml:space="preserve">No members of the Committee may also be members of ICAEW Council concurrently, except for the President. </w:t>
      </w:r>
    </w:p>
    <w:p w14:paraId="03B8792C" w14:textId="77777777" w:rsidR="00A2655D" w:rsidRDefault="00A2655D" w:rsidP="00A2655D">
      <w:pPr>
        <w:pStyle w:val="BodyText"/>
        <w:numPr>
          <w:ilvl w:val="0"/>
          <w:numId w:val="41"/>
        </w:numPr>
        <w:spacing w:after="120"/>
      </w:pPr>
      <w:r>
        <w:t xml:space="preserve">Appointments to the Committee are approved by the Board on recommendation of the Board Nomination Committee and reported to the Governance and Appointments Committee. </w:t>
      </w:r>
    </w:p>
    <w:p w14:paraId="2D095892" w14:textId="478D46C0" w:rsidR="001D2A12" w:rsidRDefault="00A2655D" w:rsidP="00A2655D">
      <w:pPr>
        <w:pStyle w:val="BodyText"/>
        <w:numPr>
          <w:ilvl w:val="0"/>
          <w:numId w:val="41"/>
        </w:numPr>
        <w:spacing w:after="120"/>
      </w:pPr>
      <w:r>
        <w:t>The term of office is up to three years, renewable once and for a third term in exceptional circumstances.</w:t>
      </w:r>
    </w:p>
    <w:p w14:paraId="7C2B1867" w14:textId="31CCECEE" w:rsidR="001D2A12" w:rsidRDefault="001D2A12" w:rsidP="001D2A12">
      <w:pPr>
        <w:pStyle w:val="BodyText"/>
        <w:numPr>
          <w:ilvl w:val="0"/>
          <w:numId w:val="41"/>
        </w:numPr>
        <w:spacing w:after="120"/>
      </w:pPr>
      <w:r>
        <w:t>The quorum is three with a non-executive board member majority.</w:t>
      </w:r>
    </w:p>
    <w:p w14:paraId="22D8EA39" w14:textId="77777777" w:rsidR="00D72B16" w:rsidRDefault="00D72B16" w:rsidP="00D72B16">
      <w:pPr>
        <w:pStyle w:val="Heading3"/>
        <w:spacing w:after="0"/>
      </w:pPr>
    </w:p>
    <w:p w14:paraId="1C236468" w14:textId="470EEE4D" w:rsidR="00E8485A" w:rsidRDefault="00E8485A" w:rsidP="00E8485A">
      <w:pPr>
        <w:pStyle w:val="Heading3"/>
      </w:pPr>
      <w:r>
        <w:t>Powers and Authorities</w:t>
      </w:r>
      <w:r>
        <w:tab/>
      </w:r>
    </w:p>
    <w:p w14:paraId="2D5FCA7D" w14:textId="77777777" w:rsidR="00F97A6F" w:rsidRDefault="00E8485A" w:rsidP="00F97A6F">
      <w:pPr>
        <w:pStyle w:val="BodyText"/>
        <w:numPr>
          <w:ilvl w:val="0"/>
          <w:numId w:val="41"/>
        </w:numPr>
        <w:spacing w:after="120"/>
      </w:pPr>
      <w:r>
        <w:t xml:space="preserve">The Committee </w:t>
      </w:r>
      <w:r w:rsidR="007C2309">
        <w:t>has the following specific powers, responsibilities and authorities</w:t>
      </w:r>
      <w:r w:rsidR="00391BD8">
        <w:t xml:space="preserve"> delegated by the Board</w:t>
      </w:r>
      <w:r w:rsidR="007C2309">
        <w:t>:</w:t>
      </w:r>
    </w:p>
    <w:p w14:paraId="5664CDC3" w14:textId="4155B838" w:rsidR="00F97A6F" w:rsidRDefault="004F1BBE" w:rsidP="00F97A6F">
      <w:pPr>
        <w:pStyle w:val="BodyText"/>
        <w:numPr>
          <w:ilvl w:val="1"/>
          <w:numId w:val="41"/>
        </w:numPr>
        <w:spacing w:after="120"/>
      </w:pPr>
      <w:r>
        <w:lastRenderedPageBreak/>
        <w:t>r</w:t>
      </w:r>
      <w:r w:rsidR="00823A0E">
        <w:t xml:space="preserve">egularly review the structure, size and composition (including the skills, knowledge, experience and diversity) of the ICAEW Board and make recommendations to the ICAEW Board </w:t>
      </w:r>
      <w:proofErr w:type="gramStart"/>
      <w:r w:rsidR="00823A0E">
        <w:t>with regard to</w:t>
      </w:r>
      <w:proofErr w:type="gramEnd"/>
      <w:r w:rsidR="00823A0E">
        <w:t xml:space="preserve"> any changes. </w:t>
      </w:r>
    </w:p>
    <w:p w14:paraId="0D97F451" w14:textId="63648B7B" w:rsidR="00F97A6F" w:rsidRDefault="004F1BBE" w:rsidP="00F97A6F">
      <w:pPr>
        <w:pStyle w:val="BodyText"/>
        <w:numPr>
          <w:ilvl w:val="1"/>
          <w:numId w:val="41"/>
        </w:numPr>
        <w:spacing w:after="120"/>
      </w:pPr>
      <w:r>
        <w:t>e</w:t>
      </w:r>
      <w:r w:rsidR="00823A0E">
        <w:t xml:space="preserve">nsure plans are in place for orderly succession to ICAEW Board and senior management positions and oversee the development of a diverse pipeline for succession, </w:t>
      </w:r>
      <w:proofErr w:type="gramStart"/>
      <w:r w:rsidR="00823A0E">
        <w:t>taking into account</w:t>
      </w:r>
      <w:proofErr w:type="gramEnd"/>
      <w:r w:rsidR="00823A0E">
        <w:t xml:space="preserve"> the challenges and opportunities facing ICAEW, and the skills and expertise needed on the ICAEW Board in the future. </w:t>
      </w:r>
    </w:p>
    <w:p w14:paraId="6B39FE35" w14:textId="2040212B" w:rsidR="00F97A6F" w:rsidRDefault="004F1BBE" w:rsidP="00F97A6F">
      <w:pPr>
        <w:pStyle w:val="BodyText"/>
        <w:numPr>
          <w:ilvl w:val="1"/>
          <w:numId w:val="41"/>
        </w:numPr>
        <w:spacing w:after="120"/>
      </w:pPr>
      <w:r>
        <w:t>h</w:t>
      </w:r>
      <w:r w:rsidR="00823A0E">
        <w:t xml:space="preserve">ave </w:t>
      </w:r>
      <w:r w:rsidR="00823A0E" w:rsidRPr="00D91D72">
        <w:t xml:space="preserve">oversight of Leadership Team recruitment and succession plans, </w:t>
      </w:r>
      <w:r w:rsidR="00823A0E">
        <w:t xml:space="preserve">beyond Board executive roles, </w:t>
      </w:r>
      <w:r w:rsidR="00823A0E">
        <w:rPr>
          <w:rStyle w:val="FootnoteReference"/>
        </w:rPr>
        <w:footnoteReference w:id="3"/>
      </w:r>
      <w:r w:rsidR="00823A0E" w:rsidRPr="00D91D72">
        <w:t>noting these posts report to the CEO and do not require Governance and Appointments Committee approval.</w:t>
      </w:r>
    </w:p>
    <w:p w14:paraId="703A306D" w14:textId="04F35B02" w:rsidR="00F97A6F" w:rsidRDefault="004F1BBE" w:rsidP="00F97A6F">
      <w:pPr>
        <w:pStyle w:val="BodyText"/>
        <w:numPr>
          <w:ilvl w:val="1"/>
          <w:numId w:val="41"/>
        </w:numPr>
        <w:spacing w:after="120"/>
      </w:pPr>
      <w:r>
        <w:t>k</w:t>
      </w:r>
      <w:r w:rsidR="00823A0E">
        <w:t xml:space="preserve">eep under review the leadership needs of the organisation, both executive and non-executive, with a view to ensuring the continued ability of ICAEW to deliver its strategy effectively. </w:t>
      </w:r>
    </w:p>
    <w:p w14:paraId="39DA581B" w14:textId="49E88AD1" w:rsidR="00F97A6F" w:rsidRDefault="004F1BBE" w:rsidP="00F97A6F">
      <w:pPr>
        <w:pStyle w:val="BodyText"/>
        <w:numPr>
          <w:ilvl w:val="1"/>
          <w:numId w:val="41"/>
        </w:numPr>
        <w:spacing w:after="120"/>
      </w:pPr>
      <w:r>
        <w:t>k</w:t>
      </w:r>
      <w:r w:rsidR="00823A0E">
        <w:t>eep up-to-date and fully informed about strategic issues and the professional environment affecting ICAEW and the markets in which it operates.</w:t>
      </w:r>
    </w:p>
    <w:p w14:paraId="2D1E939D" w14:textId="156090F5" w:rsidR="00823A0E" w:rsidRDefault="004F1BBE">
      <w:pPr>
        <w:pStyle w:val="BodyText"/>
        <w:numPr>
          <w:ilvl w:val="1"/>
          <w:numId w:val="41"/>
        </w:numPr>
        <w:spacing w:after="120"/>
      </w:pPr>
      <w:r>
        <w:t>b</w:t>
      </w:r>
      <w:r w:rsidR="00823A0E">
        <w:t xml:space="preserve">e responsible for identifying and nominating for the approval of the ICAEW Board, candidates to fill ICAEW Board vacancies as and when they arise. </w:t>
      </w:r>
    </w:p>
    <w:p w14:paraId="0911B718" w14:textId="432D4C63" w:rsidR="00823A0E" w:rsidRDefault="004F1BBE">
      <w:pPr>
        <w:pStyle w:val="BodyText"/>
        <w:numPr>
          <w:ilvl w:val="1"/>
          <w:numId w:val="41"/>
        </w:numPr>
        <w:spacing w:after="120"/>
      </w:pPr>
      <w:bookmarkStart w:id="1" w:name="_Hlk188543595"/>
      <w:r>
        <w:t>b</w:t>
      </w:r>
      <w:r w:rsidR="00823A0E">
        <w:t xml:space="preserve">efore any appointment is made by the ICAEW Board, evaluate the balance of skills, knowledge, experience and diversity on the board and, in the light of this evaluation, prepare a description of the role and capabilities required for a particular appointment and the time commitment expected. In identifying suitable candidates, the Committee shall: </w:t>
      </w:r>
    </w:p>
    <w:p w14:paraId="07A9CB05" w14:textId="0804EE0A" w:rsidR="00823A0E" w:rsidRDefault="000608B1">
      <w:pPr>
        <w:pStyle w:val="BodyText"/>
        <w:numPr>
          <w:ilvl w:val="2"/>
          <w:numId w:val="41"/>
        </w:numPr>
        <w:spacing w:after="120"/>
      </w:pPr>
      <w:r>
        <w:t>take appropriate steps to facilitate the search, this may include</w:t>
      </w:r>
      <w:r w:rsidDel="000608B1">
        <w:t xml:space="preserve"> </w:t>
      </w:r>
      <w:r w:rsidR="00823A0E">
        <w:t xml:space="preserve">open advertising or </w:t>
      </w:r>
      <w:r>
        <w:t xml:space="preserve">using </w:t>
      </w:r>
      <w:r w:rsidR="00823A0E">
        <w:t xml:space="preserve">the services of external </w:t>
      </w:r>
      <w:proofErr w:type="gramStart"/>
      <w:r w:rsidR="00823A0E">
        <w:t>advisers</w:t>
      </w:r>
      <w:r w:rsidR="004F1BBE">
        <w:t>;</w:t>
      </w:r>
      <w:proofErr w:type="gramEnd"/>
    </w:p>
    <w:p w14:paraId="17DE343E" w14:textId="53C4C568" w:rsidR="00823A0E" w:rsidRDefault="000608B1">
      <w:pPr>
        <w:pStyle w:val="BodyText"/>
        <w:numPr>
          <w:ilvl w:val="2"/>
          <w:numId w:val="41"/>
        </w:numPr>
        <w:spacing w:after="120"/>
      </w:pPr>
      <w:r>
        <w:t xml:space="preserve">encourage and </w:t>
      </w:r>
      <w:r w:rsidR="00823A0E">
        <w:t xml:space="preserve">consider candidates from a wide range of </w:t>
      </w:r>
      <w:proofErr w:type="gramStart"/>
      <w:r w:rsidR="00823A0E">
        <w:t>backgrounds</w:t>
      </w:r>
      <w:r w:rsidR="004F1BBE">
        <w:t>;</w:t>
      </w:r>
      <w:proofErr w:type="gramEnd"/>
      <w:r w:rsidR="004F1BBE">
        <w:t xml:space="preserve"> </w:t>
      </w:r>
    </w:p>
    <w:bookmarkEnd w:id="1"/>
    <w:p w14:paraId="4286F58E" w14:textId="60D8BD5D" w:rsidR="00823A0E" w:rsidRDefault="00823A0E">
      <w:pPr>
        <w:pStyle w:val="BodyText"/>
        <w:numPr>
          <w:ilvl w:val="2"/>
          <w:numId w:val="41"/>
        </w:numPr>
        <w:spacing w:after="120"/>
      </w:pPr>
      <w:r>
        <w:t>consider candidates on merit and against objective criteria, having due regard to the benefits of diversity on the board and taking care that appointees have enough time available to devote to the position</w:t>
      </w:r>
      <w:r w:rsidR="004F1BBE">
        <w:t>; and</w:t>
      </w:r>
    </w:p>
    <w:p w14:paraId="4E8729EB" w14:textId="77777777" w:rsidR="00823A0E" w:rsidRDefault="00823A0E">
      <w:pPr>
        <w:pStyle w:val="BodyText"/>
        <w:numPr>
          <w:ilvl w:val="2"/>
          <w:numId w:val="41"/>
        </w:numPr>
        <w:spacing w:after="120"/>
      </w:pPr>
      <w:r>
        <w:t xml:space="preserve">ensure Council and the Financial Reporting Council are satisfied with the process for recruiting the Chair of the Board and Chief Executive, including facilitating a meeting with any preferred candidates and the FRC before appointment. </w:t>
      </w:r>
    </w:p>
    <w:p w14:paraId="325FF457" w14:textId="6CCABAAB" w:rsidR="00823A0E" w:rsidRDefault="004F1BBE">
      <w:pPr>
        <w:pStyle w:val="BodyText"/>
        <w:numPr>
          <w:ilvl w:val="1"/>
          <w:numId w:val="41"/>
        </w:numPr>
        <w:spacing w:after="120"/>
      </w:pPr>
      <w:r>
        <w:t>p</w:t>
      </w:r>
      <w:r w:rsidR="00823A0E">
        <w:t xml:space="preserve">rior to the appointment of an ICAEW Board member, other significant time commitments should be disclosed and any additional future commitments should not be undertaken without prior approval of the ICAEW Board. The proposed appointee should also be required to disclose any other business interests that may result in a conflict of interest. These must be authorised by the ICAEW Board prior to appointment and any future business interests that could result in a conflict of interest must not be undertaken without prior authorisation of the ICAEW </w:t>
      </w:r>
      <w:proofErr w:type="gramStart"/>
      <w:r w:rsidR="00823A0E">
        <w:t>Board</w:t>
      </w:r>
      <w:r>
        <w:t>;</w:t>
      </w:r>
      <w:proofErr w:type="gramEnd"/>
    </w:p>
    <w:p w14:paraId="262D6A86" w14:textId="4800FAAA" w:rsidR="00823A0E" w:rsidRDefault="004F1BBE">
      <w:pPr>
        <w:pStyle w:val="BodyText"/>
        <w:numPr>
          <w:ilvl w:val="1"/>
          <w:numId w:val="41"/>
        </w:numPr>
        <w:spacing w:after="120"/>
      </w:pPr>
      <w:r>
        <w:t>e</w:t>
      </w:r>
      <w:r w:rsidR="00823A0E">
        <w:t xml:space="preserve">nsure that, on appointment to the ICAEW Board, non-executive members receive a formal letter of appointment setting out clearly what is expected of them in terms of time commitment, committee service and involvement outside Board </w:t>
      </w:r>
      <w:proofErr w:type="gramStart"/>
      <w:r w:rsidR="00823A0E">
        <w:t>meetings</w:t>
      </w:r>
      <w:r>
        <w:t>;</w:t>
      </w:r>
      <w:proofErr w:type="gramEnd"/>
    </w:p>
    <w:p w14:paraId="375C6402" w14:textId="2901CF72" w:rsidR="00823A0E" w:rsidRDefault="004F1BBE">
      <w:pPr>
        <w:pStyle w:val="BodyText"/>
        <w:numPr>
          <w:ilvl w:val="1"/>
          <w:numId w:val="41"/>
        </w:numPr>
        <w:spacing w:after="120"/>
      </w:pPr>
      <w:r>
        <w:lastRenderedPageBreak/>
        <w:t>r</w:t>
      </w:r>
      <w:r w:rsidR="00823A0E">
        <w:t xml:space="preserve">eview the results of the ICAEW Board performance evaluation process that relate to the composition of the ICAEW Board and succession </w:t>
      </w:r>
      <w:proofErr w:type="gramStart"/>
      <w:r>
        <w:t>planning;</w:t>
      </w:r>
      <w:proofErr w:type="gramEnd"/>
    </w:p>
    <w:p w14:paraId="6E756595" w14:textId="1425B6C9" w:rsidR="00823A0E" w:rsidRDefault="004F1BBE">
      <w:pPr>
        <w:pStyle w:val="BodyText"/>
        <w:numPr>
          <w:ilvl w:val="1"/>
          <w:numId w:val="41"/>
        </w:numPr>
        <w:spacing w:after="120"/>
      </w:pPr>
      <w:r>
        <w:t>r</w:t>
      </w:r>
      <w:r w:rsidR="00823A0E">
        <w:t>eview annually the time required from non-executive Board members. Performance evaluation should be used to assess whether they are spending enough time to fulfil their duties</w:t>
      </w:r>
      <w:r>
        <w:t>; and</w:t>
      </w:r>
    </w:p>
    <w:p w14:paraId="28C70290" w14:textId="35E1641E" w:rsidR="00823A0E" w:rsidRDefault="004F1BBE">
      <w:pPr>
        <w:pStyle w:val="BodyText"/>
        <w:numPr>
          <w:ilvl w:val="1"/>
          <w:numId w:val="41"/>
        </w:numPr>
        <w:spacing w:after="120"/>
      </w:pPr>
      <w:r>
        <w:t>w</w:t>
      </w:r>
      <w:r w:rsidR="00823A0E">
        <w:t>ork and liaise as necessary with other Board committees, ensuring the interaction between committees and with the Board is reviewed regularly</w:t>
      </w:r>
      <w:r>
        <w:t>.</w:t>
      </w:r>
    </w:p>
    <w:p w14:paraId="75BA047C" w14:textId="77777777" w:rsidR="00823A0E" w:rsidRDefault="00823A0E">
      <w:pPr>
        <w:pStyle w:val="BodyText"/>
        <w:numPr>
          <w:ilvl w:val="0"/>
          <w:numId w:val="41"/>
        </w:numPr>
        <w:spacing w:after="120"/>
      </w:pPr>
      <w:r>
        <w:t xml:space="preserve">The Committee shall also make recommendations to the GAC and ICAEW Board concerning: </w:t>
      </w:r>
    </w:p>
    <w:p w14:paraId="7C4AEF65" w14:textId="0D762D92" w:rsidR="00823A0E" w:rsidRDefault="004F1BBE">
      <w:pPr>
        <w:pStyle w:val="BodyText"/>
        <w:numPr>
          <w:ilvl w:val="1"/>
          <w:numId w:val="41"/>
        </w:numPr>
        <w:spacing w:after="120"/>
      </w:pPr>
      <w:r>
        <w:t>a</w:t>
      </w:r>
      <w:r w:rsidR="00823A0E">
        <w:t xml:space="preserve">ny changes needed to the succession planning process if its periodic assessment indicates the desired outcomes have not been </w:t>
      </w:r>
      <w:proofErr w:type="gramStart"/>
      <w:r w:rsidR="00823A0E">
        <w:t>achieved</w:t>
      </w:r>
      <w:r>
        <w:t>;</w:t>
      </w:r>
      <w:proofErr w:type="gramEnd"/>
    </w:p>
    <w:p w14:paraId="61CEFAB0" w14:textId="41B20771" w:rsidR="00823A0E" w:rsidRDefault="004F1BBE">
      <w:pPr>
        <w:pStyle w:val="BodyText"/>
        <w:numPr>
          <w:ilvl w:val="1"/>
          <w:numId w:val="41"/>
        </w:numPr>
        <w:spacing w:after="120"/>
      </w:pPr>
      <w:r>
        <w:t>s</w:t>
      </w:r>
      <w:r w:rsidR="00823A0E">
        <w:t xml:space="preserve">uitable candidates as new Board members and succession for existing Board </w:t>
      </w:r>
      <w:proofErr w:type="gramStart"/>
      <w:r w:rsidR="00823A0E">
        <w:t>members</w:t>
      </w:r>
      <w:r>
        <w:t>;</w:t>
      </w:r>
      <w:proofErr w:type="gramEnd"/>
    </w:p>
    <w:p w14:paraId="5C741BA9" w14:textId="0C1E6D28" w:rsidR="00823A0E" w:rsidRDefault="004F1BBE">
      <w:pPr>
        <w:pStyle w:val="BodyText"/>
        <w:numPr>
          <w:ilvl w:val="1"/>
          <w:numId w:val="41"/>
        </w:numPr>
        <w:spacing w:after="120"/>
      </w:pPr>
      <w:r>
        <w:t>r</w:t>
      </w:r>
      <w:r w:rsidR="00823A0E">
        <w:t>e-appointment of non-executive Board members at the conclusion of their specified term of office having given due regard to their performance and ability to continue to contribute to the board in the light of knowledge, skills and experience required</w:t>
      </w:r>
      <w:r>
        <w:t>; and</w:t>
      </w:r>
    </w:p>
    <w:p w14:paraId="6D56078C" w14:textId="662D89DB" w:rsidR="00823A0E" w:rsidRPr="00CE523B" w:rsidRDefault="004F1BBE">
      <w:pPr>
        <w:pStyle w:val="BodyText"/>
        <w:numPr>
          <w:ilvl w:val="1"/>
          <w:numId w:val="41"/>
        </w:numPr>
        <w:spacing w:after="120"/>
        <w:rPr>
          <w:color w:val="000000" w:themeColor="text1"/>
        </w:rPr>
      </w:pPr>
      <w:r>
        <w:t>d</w:t>
      </w:r>
      <w:r w:rsidR="00823A0E">
        <w:t>efining roles and responsibilities</w:t>
      </w:r>
      <w:r w:rsidR="00823A0E" w:rsidRPr="00CE523B">
        <w:rPr>
          <w:i/>
          <w:iCs/>
          <w:color w:val="FF0000"/>
        </w:rPr>
        <w:t xml:space="preserve"> </w:t>
      </w:r>
      <w:r w:rsidR="00823A0E" w:rsidRPr="00CE523B">
        <w:rPr>
          <w:color w:val="000000" w:themeColor="text1"/>
        </w:rPr>
        <w:t>for Board and committee members, including:</w:t>
      </w:r>
    </w:p>
    <w:p w14:paraId="186C67F1" w14:textId="310F0B30" w:rsidR="00823A0E" w:rsidRPr="00CE523B" w:rsidRDefault="004F1BBE">
      <w:pPr>
        <w:pStyle w:val="BodyText"/>
        <w:numPr>
          <w:ilvl w:val="2"/>
          <w:numId w:val="41"/>
        </w:numPr>
        <w:spacing w:after="120"/>
        <w:rPr>
          <w:color w:val="000000" w:themeColor="text1"/>
        </w:rPr>
      </w:pPr>
      <w:r>
        <w:rPr>
          <w:color w:val="000000" w:themeColor="text1"/>
        </w:rPr>
        <w:t>d</w:t>
      </w:r>
      <w:r w:rsidR="00823A0E" w:rsidRPr="00CE523B">
        <w:rPr>
          <w:color w:val="000000" w:themeColor="text1"/>
        </w:rPr>
        <w:t>eveloping position descriptions for new board members</w:t>
      </w:r>
      <w:r>
        <w:rPr>
          <w:color w:val="000000" w:themeColor="text1"/>
        </w:rPr>
        <w:t>; and</w:t>
      </w:r>
    </w:p>
    <w:p w14:paraId="11DC598D" w14:textId="02F405C4" w:rsidR="00823A0E" w:rsidRDefault="004F1BBE">
      <w:pPr>
        <w:pStyle w:val="BodyText"/>
        <w:numPr>
          <w:ilvl w:val="2"/>
          <w:numId w:val="41"/>
        </w:numPr>
        <w:spacing w:after="120"/>
        <w:rPr>
          <w:color w:val="000000" w:themeColor="text1"/>
        </w:rPr>
      </w:pPr>
      <w:r>
        <w:rPr>
          <w:color w:val="000000" w:themeColor="text1"/>
        </w:rPr>
        <w:t>d</w:t>
      </w:r>
      <w:r w:rsidR="00823A0E" w:rsidRPr="00CE523B">
        <w:rPr>
          <w:color w:val="000000" w:themeColor="text1"/>
        </w:rPr>
        <w:t>elegating responsibilities to appropriate executives</w:t>
      </w:r>
      <w:r>
        <w:rPr>
          <w:color w:val="000000" w:themeColor="text1"/>
        </w:rPr>
        <w:t>.</w:t>
      </w:r>
    </w:p>
    <w:p w14:paraId="16FE8222" w14:textId="77777777" w:rsidR="004F1BBE" w:rsidRPr="00CE523B" w:rsidRDefault="004F1BBE">
      <w:pPr>
        <w:pStyle w:val="BodyText"/>
        <w:spacing w:after="120"/>
        <w:ind w:left="1224"/>
        <w:rPr>
          <w:color w:val="000000" w:themeColor="text1"/>
        </w:rPr>
      </w:pPr>
    </w:p>
    <w:p w14:paraId="4FED65F1" w14:textId="2F19D13C" w:rsidR="00823A0E" w:rsidRPr="004F1BBE" w:rsidRDefault="00823A0E" w:rsidP="00823A0E">
      <w:pPr>
        <w:pStyle w:val="Heading3"/>
      </w:pPr>
      <w:r w:rsidRPr="004F1BBE">
        <w:t>Reporting responsibilities</w:t>
      </w:r>
    </w:p>
    <w:p w14:paraId="7714578C" w14:textId="77777777" w:rsidR="004F1BBE" w:rsidRDefault="00823A0E" w:rsidP="004F1BBE">
      <w:pPr>
        <w:pStyle w:val="BodyText"/>
        <w:numPr>
          <w:ilvl w:val="0"/>
          <w:numId w:val="41"/>
        </w:numPr>
        <w:spacing w:after="120"/>
      </w:pPr>
      <w:r>
        <w:t xml:space="preserve">The Committee chair shall report to the GAC and ICAEW Board after each meeting on the nature and content of its discussion, recommendations, and action to be taken. </w:t>
      </w:r>
    </w:p>
    <w:p w14:paraId="58898079" w14:textId="5E7EE154" w:rsidR="004F1BBE" w:rsidRDefault="00823A0E" w:rsidP="00F4634F">
      <w:pPr>
        <w:pStyle w:val="BodyText"/>
        <w:numPr>
          <w:ilvl w:val="0"/>
          <w:numId w:val="41"/>
        </w:numPr>
        <w:spacing w:after="120"/>
      </w:pPr>
      <w:r>
        <w:t>The Committee shall make whatever recommendations it deems appropriate on any area within its remit where action or improvement is needed, and adequate time should be made available for GAC and Board discussion when necessary.</w:t>
      </w:r>
    </w:p>
    <w:p w14:paraId="59E80391" w14:textId="7BDE0FB8" w:rsidR="00823A0E" w:rsidRDefault="00823A0E" w:rsidP="00F4634F">
      <w:pPr>
        <w:pStyle w:val="BodyText"/>
        <w:numPr>
          <w:ilvl w:val="0"/>
          <w:numId w:val="41"/>
        </w:numPr>
        <w:spacing w:after="120"/>
      </w:pPr>
      <w:r>
        <w:t xml:space="preserve">GAC shall review the Committee’s work annually to ensure it is fulfilling its purpose. The Committee will prepare an annual report to GAC describing its work, including: </w:t>
      </w:r>
    </w:p>
    <w:p w14:paraId="77017CE4" w14:textId="77777777" w:rsidR="004F1BBE" w:rsidRDefault="00823A0E" w:rsidP="00F4634F">
      <w:pPr>
        <w:pStyle w:val="BodyText"/>
        <w:numPr>
          <w:ilvl w:val="2"/>
          <w:numId w:val="41"/>
        </w:numPr>
        <w:spacing w:after="120"/>
      </w:pPr>
      <w:r>
        <w:t>the process used in relation to appointments, its approach to succession planning and how both support the development of a diverse pipeline.</w:t>
      </w:r>
    </w:p>
    <w:p w14:paraId="3015F363" w14:textId="77777777" w:rsidR="004F1BBE" w:rsidRDefault="00823A0E" w:rsidP="00F4634F">
      <w:pPr>
        <w:pStyle w:val="BodyText"/>
        <w:numPr>
          <w:ilvl w:val="2"/>
          <w:numId w:val="41"/>
        </w:numPr>
        <w:spacing w:after="120"/>
      </w:pPr>
      <w:r>
        <w:t xml:space="preserve">how board evaluation has been conducted, the nature and extent of an external evaluator’s contact with the board and individual directors, the outcomes and actions taken, and how it has influenced or will influence board composition. </w:t>
      </w:r>
    </w:p>
    <w:p w14:paraId="6C79044C" w14:textId="77777777" w:rsidR="004F1BBE" w:rsidRDefault="00823A0E" w:rsidP="00F4634F">
      <w:pPr>
        <w:pStyle w:val="BodyText"/>
        <w:numPr>
          <w:ilvl w:val="2"/>
          <w:numId w:val="41"/>
        </w:numPr>
        <w:spacing w:after="120"/>
      </w:pPr>
      <w:r>
        <w:t xml:space="preserve">the policy on diversity and inclusion, its objectives and linkage to strategy, how it has been implemented and progress on achieving the objectives, and </w:t>
      </w:r>
    </w:p>
    <w:p w14:paraId="0B55EC66" w14:textId="77777777" w:rsidR="004F1BBE" w:rsidRDefault="00823A0E" w:rsidP="00F4634F">
      <w:pPr>
        <w:pStyle w:val="BodyText"/>
        <w:numPr>
          <w:ilvl w:val="2"/>
          <w:numId w:val="41"/>
        </w:numPr>
        <w:spacing w:after="120"/>
      </w:pPr>
      <w:r>
        <w:t>the gender balance in the senior management team and their direct reports.</w:t>
      </w:r>
    </w:p>
    <w:p w14:paraId="3BA63768" w14:textId="44B00204" w:rsidR="004F1BBE" w:rsidRDefault="00823A0E" w:rsidP="00F4634F">
      <w:pPr>
        <w:pStyle w:val="BodyText"/>
        <w:numPr>
          <w:ilvl w:val="2"/>
          <w:numId w:val="41"/>
        </w:numPr>
        <w:spacing w:after="120"/>
      </w:pPr>
      <w:r>
        <w:t>If an external search consultancy has been engaged, it should be identified in the annual report alongside a statement about any other connection it has with ICAEW or individual directors.</w:t>
      </w:r>
    </w:p>
    <w:p w14:paraId="2DCE5E8B" w14:textId="77777777" w:rsidR="002A18A8" w:rsidRDefault="002A18A8" w:rsidP="002A18A8">
      <w:pPr>
        <w:pStyle w:val="BodyText"/>
        <w:ind w:left="792"/>
        <w:rPr>
          <w:bCs/>
        </w:rPr>
      </w:pPr>
    </w:p>
    <w:p w14:paraId="46D4E4DA" w14:textId="77777777" w:rsidR="000608B1" w:rsidRDefault="000608B1" w:rsidP="002A18A8">
      <w:pPr>
        <w:pStyle w:val="BodyText"/>
        <w:ind w:left="792"/>
        <w:rPr>
          <w:bCs/>
        </w:rPr>
      </w:pPr>
    </w:p>
    <w:p w14:paraId="50095EA8" w14:textId="77777777" w:rsidR="000608B1" w:rsidRDefault="000608B1" w:rsidP="002A18A8">
      <w:pPr>
        <w:pStyle w:val="BodyText"/>
        <w:ind w:left="792"/>
        <w:rPr>
          <w:bCs/>
        </w:rPr>
      </w:pPr>
    </w:p>
    <w:p w14:paraId="32123FF6" w14:textId="77777777" w:rsidR="000608B1" w:rsidRPr="002A18A8" w:rsidRDefault="000608B1" w:rsidP="002A18A8">
      <w:pPr>
        <w:pStyle w:val="BodyText"/>
        <w:ind w:left="792"/>
        <w:rPr>
          <w:bCs/>
        </w:rPr>
      </w:pPr>
    </w:p>
    <w:p w14:paraId="3A4A6AF0" w14:textId="2CEA64A2" w:rsidR="00350D17" w:rsidRDefault="00350D17" w:rsidP="00E8485A">
      <w:pPr>
        <w:pStyle w:val="Heading3"/>
      </w:pPr>
      <w:r>
        <w:lastRenderedPageBreak/>
        <w:t xml:space="preserve">Governance Matters </w:t>
      </w:r>
    </w:p>
    <w:p w14:paraId="008722FB" w14:textId="07E93F59" w:rsidR="00350D17" w:rsidRDefault="00350D17" w:rsidP="004F1BBE">
      <w:pPr>
        <w:pStyle w:val="ListParagraph"/>
        <w:numPr>
          <w:ilvl w:val="0"/>
          <w:numId w:val="41"/>
        </w:numPr>
        <w:spacing w:after="120"/>
      </w:pPr>
      <w:r>
        <w:t xml:space="preserve">The Committee’s </w:t>
      </w:r>
      <w:r w:rsidRPr="00350D17">
        <w:t xml:space="preserve">terms of reference and any subsequent changes are developed and reviewed </w:t>
      </w:r>
      <w:r w:rsidR="00525DBA">
        <w:t xml:space="preserve">once a year </w:t>
      </w:r>
      <w:r w:rsidRPr="00350D17">
        <w:t xml:space="preserve">by the Committee and then approved </w:t>
      </w:r>
      <w:r>
        <w:t xml:space="preserve">by </w:t>
      </w:r>
      <w:r w:rsidRPr="00350D17">
        <w:t>ICAEW Board.</w:t>
      </w:r>
    </w:p>
    <w:p w14:paraId="6816B5C0" w14:textId="5B7E02D0" w:rsidR="002A18A8" w:rsidRDefault="00350D17" w:rsidP="002A18A8">
      <w:pPr>
        <w:pStyle w:val="ListParagraph"/>
        <w:numPr>
          <w:ilvl w:val="0"/>
          <w:numId w:val="41"/>
        </w:numPr>
        <w:spacing w:after="120"/>
      </w:pPr>
      <w:r>
        <w:t>The Committee regularly evaluates its own performance</w:t>
      </w:r>
      <w:r w:rsidR="00EB3D40">
        <w:t xml:space="preserve"> </w:t>
      </w:r>
      <w:r w:rsidRPr="00EB3D40">
        <w:t>and reports</w:t>
      </w:r>
      <w:r w:rsidR="00EB3D40" w:rsidRPr="00EB3D40">
        <w:t xml:space="preserve"> on this</w:t>
      </w:r>
      <w:r w:rsidRPr="00EB3D40">
        <w:t xml:space="preserve"> to ICAEW Board.</w:t>
      </w:r>
      <w:r>
        <w:t xml:space="preserve"> </w:t>
      </w:r>
    </w:p>
    <w:p w14:paraId="73843CE3" w14:textId="77777777" w:rsidR="002A18A8" w:rsidRPr="00350D17" w:rsidRDefault="002A18A8" w:rsidP="002A18A8">
      <w:pPr>
        <w:pStyle w:val="ListParagraph"/>
        <w:ind w:left="360"/>
      </w:pPr>
    </w:p>
    <w:p w14:paraId="165013FC" w14:textId="1E6C42C6" w:rsidR="00E8485A" w:rsidRDefault="00E8485A" w:rsidP="00E8485A">
      <w:pPr>
        <w:pStyle w:val="Heading3"/>
      </w:pPr>
      <w:r>
        <w:t>Operation of the Committee</w:t>
      </w:r>
    </w:p>
    <w:p w14:paraId="265204BD" w14:textId="2EDB70A6" w:rsidR="00350D17" w:rsidRDefault="00350D17" w:rsidP="00F4634F">
      <w:pPr>
        <w:pStyle w:val="BodyText"/>
        <w:numPr>
          <w:ilvl w:val="0"/>
          <w:numId w:val="41"/>
        </w:numPr>
        <w:spacing w:after="120"/>
      </w:pPr>
      <w:r>
        <w:t xml:space="preserve">The Chair of the Committee will report to ICAEW Board on how the Committee is discharging its duties. </w:t>
      </w:r>
    </w:p>
    <w:p w14:paraId="1097A673" w14:textId="3FF0DBED" w:rsidR="00350D17" w:rsidRDefault="00350D17" w:rsidP="00F4634F">
      <w:pPr>
        <w:pStyle w:val="BodyText"/>
        <w:numPr>
          <w:ilvl w:val="0"/>
          <w:numId w:val="41"/>
        </w:numPr>
        <w:spacing w:after="120"/>
      </w:pPr>
      <w:r>
        <w:t>The Committee shall provide a report on its activities in ICAEW’s annual report.</w:t>
      </w:r>
    </w:p>
    <w:p w14:paraId="25D83021" w14:textId="1A1931CC" w:rsidR="00350D17" w:rsidRDefault="00350D17" w:rsidP="00F4634F">
      <w:pPr>
        <w:pStyle w:val="BodyText"/>
        <w:numPr>
          <w:ilvl w:val="0"/>
          <w:numId w:val="41"/>
        </w:numPr>
        <w:spacing w:after="120"/>
      </w:pPr>
      <w:r>
        <w:t xml:space="preserve">Meetings </w:t>
      </w:r>
      <w:r w:rsidRPr="00350D17">
        <w:t>of the Committee will be chaired by the Chair. If the Chair is unable to attend any meeting of the Committee, it shall be chaired by a</w:t>
      </w:r>
      <w:r>
        <w:t>n eligible</w:t>
      </w:r>
      <w:r w:rsidRPr="00350D17">
        <w:t xml:space="preserve"> member of the Committee nominated by the Chair or if no one had been so nominated, by a</w:t>
      </w:r>
      <w:r w:rsidR="00FC0FEA">
        <w:t>n eligible</w:t>
      </w:r>
      <w:r w:rsidRPr="00350D17">
        <w:t xml:space="preserve"> member of the Committee chosen by the members present at the meeting.</w:t>
      </w:r>
    </w:p>
    <w:p w14:paraId="0B79D965" w14:textId="092FB7E2" w:rsidR="00FC0FEA" w:rsidRDefault="00FC0FEA" w:rsidP="00F4634F">
      <w:pPr>
        <w:pStyle w:val="BodyText"/>
        <w:numPr>
          <w:ilvl w:val="0"/>
          <w:numId w:val="41"/>
        </w:numPr>
        <w:spacing w:after="120"/>
      </w:pPr>
      <w:r>
        <w:t xml:space="preserve">The Committee shall meet as often as required to fulfil its duties. As a minimum this will be </w:t>
      </w:r>
      <w:r w:rsidR="007719E4">
        <w:t>three</w:t>
      </w:r>
      <w:r>
        <w:t xml:space="preserve"> times a year.</w:t>
      </w:r>
    </w:p>
    <w:p w14:paraId="0C2AF210" w14:textId="1DAA2EEB" w:rsidR="00823A0E" w:rsidRDefault="00823A0E" w:rsidP="00F4634F">
      <w:pPr>
        <w:pStyle w:val="BodyText"/>
        <w:numPr>
          <w:ilvl w:val="0"/>
          <w:numId w:val="41"/>
        </w:numPr>
        <w:spacing w:after="120"/>
      </w:pPr>
      <w:r w:rsidRPr="00BB1DF4">
        <w:t xml:space="preserve">The </w:t>
      </w:r>
      <w:r>
        <w:t>C</w:t>
      </w:r>
      <w:r w:rsidRPr="00BB1DF4">
        <w:t xml:space="preserve">ommittee is authorised by the </w:t>
      </w:r>
      <w:r>
        <w:t>B</w:t>
      </w:r>
      <w:r w:rsidRPr="00BB1DF4">
        <w:t xml:space="preserve">oard to obtain, at </w:t>
      </w:r>
      <w:r>
        <w:t>ICAEW</w:t>
      </w:r>
      <w:r w:rsidRPr="00BB1DF4">
        <w:t>’s expense, outside legal or other professional advice on any matters within its terms of reference</w:t>
      </w:r>
      <w:r w:rsidR="001D2A12">
        <w:t>.</w:t>
      </w:r>
    </w:p>
    <w:p w14:paraId="51E65FC6" w14:textId="3D9F9B96" w:rsidR="001209C6" w:rsidRDefault="00FC0FEA" w:rsidP="00F4634F">
      <w:pPr>
        <w:pStyle w:val="BodyText"/>
        <w:numPr>
          <w:ilvl w:val="0"/>
          <w:numId w:val="41"/>
        </w:numPr>
        <w:spacing w:after="120"/>
      </w:pPr>
      <w:r>
        <w:t xml:space="preserve">Members, staff and other </w:t>
      </w:r>
      <w:r w:rsidRPr="00FC0FEA">
        <w:t>stakeholders will be invited to attend meetings as business needs dictate.</w:t>
      </w:r>
      <w:r>
        <w:t xml:space="preserve"> </w:t>
      </w:r>
    </w:p>
    <w:p w14:paraId="153BEB92" w14:textId="1EDF0BCE" w:rsidR="00FC0FEA" w:rsidRDefault="00FC0FEA" w:rsidP="00F4634F">
      <w:pPr>
        <w:pStyle w:val="BodyText"/>
        <w:numPr>
          <w:ilvl w:val="0"/>
          <w:numId w:val="41"/>
        </w:numPr>
        <w:spacing w:after="120"/>
      </w:pPr>
      <w:r>
        <w:t xml:space="preserve">The Chair </w:t>
      </w:r>
      <w:r w:rsidRPr="00FC0FEA">
        <w:t>of the Committee shall attend the Annual General Meeting and be prepared to respond to any questions on the Committee’s activities. If the Chair is unable to attend, another member of the Committee shall attend in their place.</w:t>
      </w:r>
    </w:p>
    <w:p w14:paraId="03E1ED74" w14:textId="78B86283" w:rsidR="00FC0FEA" w:rsidRDefault="00FC0FEA" w:rsidP="00F4634F">
      <w:pPr>
        <w:pStyle w:val="BodyText"/>
        <w:numPr>
          <w:ilvl w:val="0"/>
          <w:numId w:val="41"/>
        </w:numPr>
        <w:spacing w:after="120"/>
      </w:pPr>
      <w:r>
        <w:t xml:space="preserve">The Committee </w:t>
      </w:r>
      <w:r w:rsidRPr="00FC0FEA">
        <w:t>shall have access to sufficient resources to carry out its duties, including access to the Governance Office for advice and assistance as required. The Governance Office shall provide committee secretariat support to the Committee.</w:t>
      </w:r>
    </w:p>
    <w:p w14:paraId="2C91579F" w14:textId="05C7A3AC" w:rsidR="00FC0FEA" w:rsidRDefault="00FC0FEA" w:rsidP="00F4634F">
      <w:pPr>
        <w:pStyle w:val="BodyText"/>
        <w:numPr>
          <w:ilvl w:val="0"/>
          <w:numId w:val="41"/>
        </w:numPr>
        <w:spacing w:after="120"/>
      </w:pPr>
      <w:r>
        <w:t xml:space="preserve">The Committee will </w:t>
      </w:r>
      <w:r w:rsidRPr="00FC0FEA">
        <w:t xml:space="preserve">take account of </w:t>
      </w:r>
      <w:r w:rsidR="00F0509B">
        <w:t xml:space="preserve">ICAEW strategy and values, regulatory requirements, the need to promote effective risk management and </w:t>
      </w:r>
      <w:r w:rsidRPr="00FC0FEA">
        <w:t>matters of inclusion and diversity with respect to its activities.</w:t>
      </w:r>
    </w:p>
    <w:p w14:paraId="4FBC7675" w14:textId="77777777" w:rsidR="00237779" w:rsidRDefault="00237779" w:rsidP="00237779">
      <w:pPr>
        <w:pStyle w:val="BodyText"/>
        <w:spacing w:after="120"/>
      </w:pPr>
    </w:p>
    <w:tbl>
      <w:tblPr>
        <w:tblStyle w:val="TableGrid"/>
        <w:tblW w:w="0" w:type="auto"/>
        <w:tblLook w:val="04A0" w:firstRow="1" w:lastRow="0" w:firstColumn="1" w:lastColumn="0" w:noHBand="0" w:noVBand="1"/>
      </w:tblPr>
      <w:tblGrid>
        <w:gridCol w:w="4815"/>
        <w:gridCol w:w="4816"/>
      </w:tblGrid>
      <w:tr w:rsidR="00237779" w14:paraId="3B02ECDC" w14:textId="77777777" w:rsidTr="00237779">
        <w:tc>
          <w:tcPr>
            <w:tcW w:w="4815" w:type="dxa"/>
          </w:tcPr>
          <w:p w14:paraId="68F103EC" w14:textId="2D8EEA21" w:rsidR="00237779" w:rsidRPr="00FD5AE5" w:rsidRDefault="00237779" w:rsidP="00237779">
            <w:pPr>
              <w:pStyle w:val="BodyText"/>
              <w:spacing w:after="120"/>
              <w:rPr>
                <w:b/>
                <w:bCs/>
              </w:rPr>
            </w:pPr>
            <w:r w:rsidRPr="00FD5AE5">
              <w:rPr>
                <w:b/>
                <w:bCs/>
              </w:rPr>
              <w:t>Date Approved</w:t>
            </w:r>
          </w:p>
        </w:tc>
        <w:tc>
          <w:tcPr>
            <w:tcW w:w="4816" w:type="dxa"/>
          </w:tcPr>
          <w:p w14:paraId="013074F1" w14:textId="0650624C" w:rsidR="00237779" w:rsidRDefault="00FD5AE5" w:rsidP="00237779">
            <w:pPr>
              <w:pStyle w:val="BodyText"/>
              <w:spacing w:after="120"/>
            </w:pPr>
            <w:r>
              <w:t>30 January 2025</w:t>
            </w:r>
          </w:p>
        </w:tc>
      </w:tr>
      <w:tr w:rsidR="00237779" w14:paraId="2FA822ED" w14:textId="77777777" w:rsidTr="00237779">
        <w:tc>
          <w:tcPr>
            <w:tcW w:w="4815" w:type="dxa"/>
          </w:tcPr>
          <w:p w14:paraId="7A458D4F" w14:textId="4A3F9727" w:rsidR="00237779" w:rsidRPr="00FD5AE5" w:rsidRDefault="00237779" w:rsidP="00237779">
            <w:pPr>
              <w:pStyle w:val="BodyText"/>
              <w:spacing w:after="120"/>
              <w:rPr>
                <w:b/>
                <w:bCs/>
              </w:rPr>
            </w:pPr>
            <w:r w:rsidRPr="00FD5AE5">
              <w:rPr>
                <w:b/>
                <w:bCs/>
              </w:rPr>
              <w:t>Amendments</w:t>
            </w:r>
          </w:p>
        </w:tc>
        <w:tc>
          <w:tcPr>
            <w:tcW w:w="4816" w:type="dxa"/>
          </w:tcPr>
          <w:p w14:paraId="594B0FC0" w14:textId="77777777" w:rsidR="00237779" w:rsidRDefault="00237779" w:rsidP="00237779">
            <w:pPr>
              <w:pStyle w:val="BodyText"/>
              <w:spacing w:after="120"/>
            </w:pPr>
          </w:p>
        </w:tc>
      </w:tr>
    </w:tbl>
    <w:p w14:paraId="3F59068E" w14:textId="77777777" w:rsidR="00237779" w:rsidRPr="00E8485A" w:rsidRDefault="00237779" w:rsidP="00237779">
      <w:pPr>
        <w:pStyle w:val="BodyText"/>
        <w:spacing w:after="120"/>
      </w:pPr>
    </w:p>
    <w:sectPr w:rsidR="00237779" w:rsidRPr="00E8485A" w:rsidSect="002F54B6">
      <w:headerReference w:type="default" r:id="rId18"/>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1EAB" w14:textId="77777777" w:rsidR="007D54D3" w:rsidRDefault="007D54D3">
      <w:r>
        <w:separator/>
      </w:r>
    </w:p>
  </w:endnote>
  <w:endnote w:type="continuationSeparator" w:id="0">
    <w:p w14:paraId="67E9267D" w14:textId="77777777" w:rsidR="007D54D3" w:rsidRDefault="007D54D3">
      <w:r>
        <w:continuationSeparator/>
      </w:r>
    </w:p>
  </w:endnote>
  <w:endnote w:type="continuationNotice" w:id="1">
    <w:p w14:paraId="3790B700" w14:textId="77777777" w:rsidR="007D54D3" w:rsidRDefault="007D54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06F6" w14:textId="77777777" w:rsidR="007B48F1" w:rsidRDefault="007B4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839B" w14:textId="77777777" w:rsidR="00D359CF" w:rsidRDefault="00D359CF" w:rsidP="00D359CF"/>
  <w:p w14:paraId="42B7373F" w14:textId="77777777" w:rsidR="00C53111" w:rsidRPr="00B53EF6" w:rsidRDefault="00C53111" w:rsidP="00D35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EFE0"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442E9D49" w14:textId="77777777" w:rsidTr="00427D52">
      <w:tc>
        <w:tcPr>
          <w:tcW w:w="4815" w:type="dxa"/>
          <w:tcBorders>
            <w:top w:val="single" w:sz="4" w:space="0" w:color="E30613" w:themeColor="background2"/>
          </w:tcBorders>
          <w:shd w:val="clear" w:color="auto" w:fill="auto"/>
        </w:tcPr>
        <w:p w14:paraId="62E15A63" w14:textId="77777777" w:rsidR="00C53111" w:rsidRPr="00953929" w:rsidRDefault="00C53111" w:rsidP="00427D52">
          <w:pPr>
            <w:pStyle w:val="Footer"/>
            <w:rPr>
              <w:sz w:val="8"/>
            </w:rPr>
          </w:pPr>
        </w:p>
        <w:p w14:paraId="7A556519" w14:textId="77777777" w:rsidR="00C53111" w:rsidRPr="00953929" w:rsidRDefault="007B50F1" w:rsidP="00427D52">
          <w:pPr>
            <w:pStyle w:val="Footer"/>
            <w:rPr>
              <w:b/>
              <w:sz w:val="8"/>
            </w:rPr>
          </w:pPr>
          <w:r>
            <w:rPr>
              <w:noProof/>
            </w:rPr>
            <w:fldChar w:fldCharType="begin"/>
          </w:r>
          <w:r>
            <w:rPr>
              <w:noProof/>
            </w:rPr>
            <w:instrText xml:space="preserve"> FILENAME   \* MERGEFORMAT </w:instrText>
          </w:r>
          <w:r>
            <w:rPr>
              <w:noProof/>
            </w:rPr>
            <w:fldChar w:fldCharType="separate"/>
          </w:r>
          <w:r w:rsidR="00F70AFC">
            <w:rPr>
              <w:noProof/>
            </w:rPr>
            <w:t>TOR 02.07 Remuneration Committee 02Aug2017.docx</w:t>
          </w:r>
          <w:r>
            <w:rPr>
              <w:noProof/>
            </w:rPr>
            <w:fldChar w:fldCharType="end"/>
          </w:r>
        </w:p>
      </w:tc>
      <w:tc>
        <w:tcPr>
          <w:tcW w:w="4816" w:type="dxa"/>
          <w:tcBorders>
            <w:top w:val="single" w:sz="4" w:space="0" w:color="E30613" w:themeColor="background2"/>
          </w:tcBorders>
          <w:shd w:val="clear" w:color="auto" w:fill="auto"/>
        </w:tcPr>
        <w:p w14:paraId="391467D1" w14:textId="77777777" w:rsidR="00C53111" w:rsidRPr="00953929" w:rsidRDefault="00C53111" w:rsidP="00427D52">
          <w:pPr>
            <w:pStyle w:val="Footer"/>
            <w:jc w:val="right"/>
            <w:rPr>
              <w:sz w:val="8"/>
            </w:rPr>
          </w:pPr>
        </w:p>
        <w:p w14:paraId="5EDFA0F4" w14:textId="77777777" w:rsidR="00C53111" w:rsidRPr="005E6231" w:rsidRDefault="00C53111" w:rsidP="00427D52">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F70AFC">
            <w:fldChar w:fldCharType="begin"/>
          </w:r>
          <w:r w:rsidR="00F70AFC">
            <w:instrText xml:space="preserve"> numpages </w:instrText>
          </w:r>
          <w:r w:rsidR="00F70AFC">
            <w:fldChar w:fldCharType="separate"/>
          </w:r>
          <w:r w:rsidR="00F70AFC">
            <w:rPr>
              <w:noProof/>
            </w:rPr>
            <w:t>1</w:t>
          </w:r>
          <w:r w:rsidR="00F70AFC">
            <w:rPr>
              <w:noProof/>
            </w:rPr>
            <w:fldChar w:fldCharType="end"/>
          </w:r>
        </w:p>
      </w:tc>
    </w:tr>
  </w:tbl>
  <w:p w14:paraId="4B54E1E5"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5BF9" w14:textId="77777777" w:rsidR="007D54D3" w:rsidRDefault="007D54D3">
      <w:r>
        <w:separator/>
      </w:r>
    </w:p>
  </w:footnote>
  <w:footnote w:type="continuationSeparator" w:id="0">
    <w:p w14:paraId="59623E41" w14:textId="77777777" w:rsidR="007D54D3" w:rsidRDefault="007D54D3">
      <w:r>
        <w:continuationSeparator/>
      </w:r>
    </w:p>
  </w:footnote>
  <w:footnote w:type="continuationNotice" w:id="1">
    <w:p w14:paraId="44A2DCF1" w14:textId="77777777" w:rsidR="007D54D3" w:rsidRDefault="007D54D3">
      <w:pPr>
        <w:spacing w:line="240" w:lineRule="auto"/>
      </w:pPr>
    </w:p>
  </w:footnote>
  <w:footnote w:id="2">
    <w:p w14:paraId="2EA8126D" w14:textId="6CAAAA04" w:rsidR="00823A0E" w:rsidRDefault="00823A0E">
      <w:pPr>
        <w:pStyle w:val="FootnoteText"/>
      </w:pPr>
      <w:r>
        <w:rPr>
          <w:rStyle w:val="FootnoteReference"/>
        </w:rPr>
        <w:footnoteRef/>
      </w:r>
      <w:r>
        <w:t xml:space="preserve"> </w:t>
      </w:r>
      <w:r>
        <w:rPr>
          <w:rStyle w:val="FootnoteReference"/>
        </w:rPr>
        <w:footnoteRef/>
      </w:r>
      <w:r>
        <w:t xml:space="preserve"> ‘Senior management’ is defined as</w:t>
      </w:r>
      <w:r w:rsidRPr="008E1888">
        <w:t xml:space="preserve"> appointments that convey a position on the Board, namely Chief Executive</w:t>
      </w:r>
      <w:r w:rsidR="00740562">
        <w:t>, Chief Operating Officer</w:t>
      </w:r>
      <w:r w:rsidRPr="008E1888">
        <w:t xml:space="preserve"> and Chief Financ</w:t>
      </w:r>
      <w:r w:rsidR="008A3E11">
        <w:t>ial</w:t>
      </w:r>
      <w:r w:rsidRPr="008E1888">
        <w:t xml:space="preserve"> Officer</w:t>
      </w:r>
      <w:r>
        <w:t>, in line with provisions of GAC and Board Terms of Reference</w:t>
      </w:r>
      <w:r w:rsidDel="00C94BE2">
        <w:t>.</w:t>
      </w:r>
    </w:p>
  </w:footnote>
  <w:footnote w:id="3">
    <w:p w14:paraId="1F984FA1" w14:textId="77777777" w:rsidR="00823A0E" w:rsidRDefault="00823A0E" w:rsidP="00823A0E">
      <w:pPr>
        <w:pStyle w:val="FootnoteText"/>
      </w:pPr>
      <w:r>
        <w:rPr>
          <w:rStyle w:val="FootnoteReference"/>
        </w:rPr>
        <w:footnoteRef/>
      </w:r>
      <w:r>
        <w:t xml:space="preserve"> The recruiting manager will consult the Committee on any role profile, the recruitment process and the preferred candidate prior to the appointment being confirmed.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66A5" w14:textId="77777777" w:rsidR="007B48F1" w:rsidRDefault="007B4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5581" w14:textId="77777777" w:rsidR="006E3BC3" w:rsidRPr="00BF77C3" w:rsidRDefault="006E3BC3" w:rsidP="006E3BC3">
    <w:r>
      <w:rPr>
        <w:noProof/>
        <w:lang w:eastAsia="zh-TW"/>
      </w:rPr>
      <w:drawing>
        <wp:anchor distT="0" distB="0" distL="114300" distR="114300" simplePos="0" relativeHeight="251658240" behindDoc="0" locked="0" layoutInCell="1" allowOverlap="1" wp14:anchorId="4821E507" wp14:editId="575C0A32">
          <wp:simplePos x="0" y="0"/>
          <wp:positionH relativeFrom="column">
            <wp:posOffset>5638165</wp:posOffset>
          </wp:positionH>
          <wp:positionV relativeFrom="paragraph">
            <wp:posOffset>191135</wp:posOffset>
          </wp:positionV>
          <wp:extent cx="786240" cy="126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80C0" w14:textId="77777777" w:rsidR="007B48F1" w:rsidRDefault="007B48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AAE6"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9D14CBC"/>
    <w:multiLevelType w:val="multilevel"/>
    <w:tmpl w:val="701A384E"/>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3" w15:restartNumberingAfterBreak="0">
    <w:nsid w:val="12475BE1"/>
    <w:multiLevelType w:val="multilevel"/>
    <w:tmpl w:val="43FC8FDE"/>
    <w:lvl w:ilvl="0">
      <w:start w:val="15"/>
      <w:numFmt w:val="decimal"/>
      <w:lvlText w:val="%1"/>
      <w:lvlJc w:val="left"/>
      <w:pPr>
        <w:ind w:left="420" w:hanging="420"/>
      </w:pPr>
      <w:rPr>
        <w:rFonts w:hint="default"/>
      </w:rPr>
    </w:lvl>
    <w:lvl w:ilvl="1">
      <w:start w:val="1"/>
      <w:numFmt w:val="decimal"/>
      <w:lvlText w:val="%1.%2"/>
      <w:lvlJc w:val="left"/>
      <w:pPr>
        <w:ind w:left="921" w:hanging="420"/>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14"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18DE3E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437F22"/>
    <w:multiLevelType w:val="hybridMultilevel"/>
    <w:tmpl w:val="8D7EACF0"/>
    <w:lvl w:ilvl="0" w:tplc="6E563248">
      <w:start w:val="1"/>
      <w:numFmt w:val="decimal"/>
      <w:lvlText w:val="%1."/>
      <w:lvlJc w:val="left"/>
      <w:pPr>
        <w:ind w:left="1080" w:hanging="720"/>
      </w:pPr>
      <w:rPr>
        <w:rFonts w:hint="default"/>
      </w:rPr>
    </w:lvl>
    <w:lvl w:ilvl="1" w:tplc="F5F4152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8" w15:restartNumberingAfterBreak="0">
    <w:nsid w:val="1F2743A9"/>
    <w:multiLevelType w:val="hybridMultilevel"/>
    <w:tmpl w:val="681A3CBA"/>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0" w15:restartNumberingAfterBreak="0">
    <w:nsid w:val="26386F8E"/>
    <w:multiLevelType w:val="multilevel"/>
    <w:tmpl w:val="0809001F"/>
    <w:lvl w:ilvl="0">
      <w:start w:val="1"/>
      <w:numFmt w:val="decimal"/>
      <w:lvlText w:val="%1."/>
      <w:lvlJc w:val="left"/>
      <w:pPr>
        <w:ind w:left="502"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4" w15:restartNumberingAfterBreak="0">
    <w:nsid w:val="44DB3831"/>
    <w:multiLevelType w:val="hybridMultilevel"/>
    <w:tmpl w:val="EF9E1F2A"/>
    <w:lvl w:ilvl="0" w:tplc="E59296A8">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E12B04"/>
    <w:multiLevelType w:val="multilevel"/>
    <w:tmpl w:val="DAFEE83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7" w15:restartNumberingAfterBreak="0">
    <w:nsid w:val="66D414EE"/>
    <w:multiLevelType w:val="multilevel"/>
    <w:tmpl w:val="2BE094B4"/>
    <w:numStyleLink w:val="Bulletpoints"/>
  </w:abstractNum>
  <w:abstractNum w:abstractNumId="28" w15:restartNumberingAfterBreak="0">
    <w:nsid w:val="68D614E2"/>
    <w:multiLevelType w:val="hybridMultilevel"/>
    <w:tmpl w:val="07AE1FCE"/>
    <w:lvl w:ilvl="0" w:tplc="0809000F">
      <w:start w:val="1"/>
      <w:numFmt w:val="decimal"/>
      <w:lvlText w:val="%1."/>
      <w:lvlJc w:val="left"/>
      <w:pPr>
        <w:ind w:left="501" w:hanging="360"/>
      </w:pPr>
    </w:lvl>
    <w:lvl w:ilvl="1" w:tplc="08090019">
      <w:start w:val="1"/>
      <w:numFmt w:val="lowerLetter"/>
      <w:lvlText w:val="%2."/>
      <w:lvlJc w:val="left"/>
      <w:pPr>
        <w:ind w:left="1440" w:hanging="360"/>
      </w:pPr>
    </w:lvl>
    <w:lvl w:ilvl="2" w:tplc="D5826262">
      <w:numFmt w:val="bullet"/>
      <w:lvlText w:val="•"/>
      <w:lvlJc w:val="left"/>
      <w:pPr>
        <w:ind w:left="2340" w:hanging="36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EC7EF7"/>
    <w:multiLevelType w:val="multilevel"/>
    <w:tmpl w:val="1B0857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252A8E"/>
    <w:multiLevelType w:val="hybridMultilevel"/>
    <w:tmpl w:val="39783A64"/>
    <w:lvl w:ilvl="0" w:tplc="7054E100">
      <w:start w:val="9"/>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32"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40999852">
    <w:abstractNumId w:val="21"/>
  </w:num>
  <w:num w:numId="2" w16cid:durableId="78061915">
    <w:abstractNumId w:val="11"/>
  </w:num>
  <w:num w:numId="3" w16cid:durableId="1598446244">
    <w:abstractNumId w:val="32"/>
  </w:num>
  <w:num w:numId="4" w16cid:durableId="1388577032">
    <w:abstractNumId w:val="26"/>
  </w:num>
  <w:num w:numId="5" w16cid:durableId="1479112842">
    <w:abstractNumId w:val="19"/>
  </w:num>
  <w:num w:numId="6" w16cid:durableId="9600480">
    <w:abstractNumId w:val="23"/>
  </w:num>
  <w:num w:numId="7" w16cid:durableId="747117881">
    <w:abstractNumId w:val="12"/>
  </w:num>
  <w:num w:numId="8" w16cid:durableId="691302043">
    <w:abstractNumId w:val="8"/>
  </w:num>
  <w:num w:numId="9" w16cid:durableId="918519365">
    <w:abstractNumId w:val="31"/>
  </w:num>
  <w:num w:numId="10" w16cid:durableId="2043896531">
    <w:abstractNumId w:val="17"/>
  </w:num>
  <w:num w:numId="11" w16cid:durableId="1402436996">
    <w:abstractNumId w:val="27"/>
  </w:num>
  <w:num w:numId="12" w16cid:durableId="517888192">
    <w:abstractNumId w:val="3"/>
  </w:num>
  <w:num w:numId="13" w16cid:durableId="1040056596">
    <w:abstractNumId w:val="2"/>
  </w:num>
  <w:num w:numId="14" w16cid:durableId="510417314">
    <w:abstractNumId w:val="9"/>
  </w:num>
  <w:num w:numId="15" w16cid:durableId="1591230368">
    <w:abstractNumId w:val="7"/>
  </w:num>
  <w:num w:numId="16" w16cid:durableId="585849416">
    <w:abstractNumId w:val="9"/>
  </w:num>
  <w:num w:numId="17" w16cid:durableId="1336302484">
    <w:abstractNumId w:val="7"/>
  </w:num>
  <w:num w:numId="18" w16cid:durableId="1491675708">
    <w:abstractNumId w:val="31"/>
  </w:num>
  <w:num w:numId="19" w16cid:durableId="1557887124">
    <w:abstractNumId w:val="3"/>
  </w:num>
  <w:num w:numId="20" w16cid:durableId="2009215161">
    <w:abstractNumId w:val="2"/>
  </w:num>
  <w:num w:numId="21" w16cid:durableId="150679115">
    <w:abstractNumId w:val="14"/>
  </w:num>
  <w:num w:numId="22" w16cid:durableId="1586449880">
    <w:abstractNumId w:val="6"/>
  </w:num>
  <w:num w:numId="23" w16cid:durableId="785781229">
    <w:abstractNumId w:val="5"/>
  </w:num>
  <w:num w:numId="24" w16cid:durableId="204222121">
    <w:abstractNumId w:val="4"/>
  </w:num>
  <w:num w:numId="25" w16cid:durableId="1291403547">
    <w:abstractNumId w:val="1"/>
  </w:num>
  <w:num w:numId="26" w16cid:durableId="310642917">
    <w:abstractNumId w:val="0"/>
  </w:num>
  <w:num w:numId="27" w16cid:durableId="1694333000">
    <w:abstractNumId w:val="22"/>
  </w:num>
  <w:num w:numId="28" w16cid:durableId="1439910254">
    <w:abstractNumId w:val="22"/>
  </w:num>
  <w:num w:numId="29" w16cid:durableId="107701186">
    <w:abstractNumId w:val="6"/>
  </w:num>
  <w:num w:numId="30" w16cid:durableId="1061947781">
    <w:abstractNumId w:val="31"/>
  </w:num>
  <w:num w:numId="31" w16cid:durableId="137387276">
    <w:abstractNumId w:val="31"/>
  </w:num>
  <w:num w:numId="32" w16cid:durableId="867836211">
    <w:abstractNumId w:val="31"/>
  </w:num>
  <w:num w:numId="33" w16cid:durableId="582494790">
    <w:abstractNumId w:val="22"/>
  </w:num>
  <w:num w:numId="34" w16cid:durableId="850487698">
    <w:abstractNumId w:val="17"/>
  </w:num>
  <w:num w:numId="35" w16cid:durableId="1627348153">
    <w:abstractNumId w:val="14"/>
  </w:num>
  <w:num w:numId="36" w16cid:durableId="1622569476">
    <w:abstractNumId w:val="14"/>
  </w:num>
  <w:num w:numId="37" w16cid:durableId="2079014437">
    <w:abstractNumId w:val="14"/>
  </w:num>
  <w:num w:numId="38" w16cid:durableId="1318417831">
    <w:abstractNumId w:val="31"/>
  </w:num>
  <w:num w:numId="39" w16cid:durableId="1878004904">
    <w:abstractNumId w:val="31"/>
  </w:num>
  <w:num w:numId="40" w16cid:durableId="1272323731">
    <w:abstractNumId w:val="31"/>
  </w:num>
  <w:num w:numId="41" w16cid:durableId="827357550">
    <w:abstractNumId w:val="15"/>
  </w:num>
  <w:num w:numId="42" w16cid:durableId="320354733">
    <w:abstractNumId w:val="16"/>
  </w:num>
  <w:num w:numId="43" w16cid:durableId="2091736795">
    <w:abstractNumId w:val="30"/>
  </w:num>
  <w:num w:numId="44" w16cid:durableId="53427838">
    <w:abstractNumId w:val="25"/>
  </w:num>
  <w:num w:numId="45" w16cid:durableId="1528055433">
    <w:abstractNumId w:val="20"/>
  </w:num>
  <w:num w:numId="46" w16cid:durableId="2063282971">
    <w:abstractNumId w:val="24"/>
  </w:num>
  <w:num w:numId="47" w16cid:durableId="1913851651">
    <w:abstractNumId w:val="10"/>
  </w:num>
  <w:num w:numId="48" w16cid:durableId="719323525">
    <w:abstractNumId w:val="28"/>
  </w:num>
  <w:num w:numId="49" w16cid:durableId="1921140153">
    <w:abstractNumId w:val="18"/>
  </w:num>
  <w:num w:numId="50" w16cid:durableId="1504470332">
    <w:abstractNumId w:val="29"/>
  </w:num>
  <w:num w:numId="51" w16cid:durableId="1391463188">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85A"/>
    <w:rsid w:val="00011714"/>
    <w:rsid w:val="0002207F"/>
    <w:rsid w:val="00022914"/>
    <w:rsid w:val="00022A49"/>
    <w:rsid w:val="000252BD"/>
    <w:rsid w:val="00036B83"/>
    <w:rsid w:val="0004441E"/>
    <w:rsid w:val="00044F2A"/>
    <w:rsid w:val="000451D9"/>
    <w:rsid w:val="00046265"/>
    <w:rsid w:val="00046840"/>
    <w:rsid w:val="00047ED5"/>
    <w:rsid w:val="00050425"/>
    <w:rsid w:val="00055FB2"/>
    <w:rsid w:val="00060785"/>
    <w:rsid w:val="000608B1"/>
    <w:rsid w:val="000665A5"/>
    <w:rsid w:val="000914DB"/>
    <w:rsid w:val="00096107"/>
    <w:rsid w:val="00096E01"/>
    <w:rsid w:val="00096FC2"/>
    <w:rsid w:val="000A6655"/>
    <w:rsid w:val="000A724C"/>
    <w:rsid w:val="000B7A15"/>
    <w:rsid w:val="000C5154"/>
    <w:rsid w:val="000D353A"/>
    <w:rsid w:val="000E21C5"/>
    <w:rsid w:val="000E738D"/>
    <w:rsid w:val="00100726"/>
    <w:rsid w:val="00105A88"/>
    <w:rsid w:val="001209C6"/>
    <w:rsid w:val="00121C59"/>
    <w:rsid w:val="001222B0"/>
    <w:rsid w:val="00122D1C"/>
    <w:rsid w:val="00125AF8"/>
    <w:rsid w:val="00126BFD"/>
    <w:rsid w:val="00131D9D"/>
    <w:rsid w:val="001330E8"/>
    <w:rsid w:val="00135EF5"/>
    <w:rsid w:val="00142C7B"/>
    <w:rsid w:val="0014394F"/>
    <w:rsid w:val="001503C3"/>
    <w:rsid w:val="00170447"/>
    <w:rsid w:val="001736AC"/>
    <w:rsid w:val="001859E0"/>
    <w:rsid w:val="001873F0"/>
    <w:rsid w:val="00191962"/>
    <w:rsid w:val="00196302"/>
    <w:rsid w:val="001A3DD0"/>
    <w:rsid w:val="001A497B"/>
    <w:rsid w:val="001A6D7B"/>
    <w:rsid w:val="001B1995"/>
    <w:rsid w:val="001B381C"/>
    <w:rsid w:val="001C0A46"/>
    <w:rsid w:val="001D16DD"/>
    <w:rsid w:val="001D2A12"/>
    <w:rsid w:val="001D4A17"/>
    <w:rsid w:val="001D4BA7"/>
    <w:rsid w:val="001F0156"/>
    <w:rsid w:val="0020434C"/>
    <w:rsid w:val="002043BD"/>
    <w:rsid w:val="00223D7D"/>
    <w:rsid w:val="00231332"/>
    <w:rsid w:val="0023202B"/>
    <w:rsid w:val="00237779"/>
    <w:rsid w:val="00243055"/>
    <w:rsid w:val="00262519"/>
    <w:rsid w:val="00266693"/>
    <w:rsid w:val="002673B6"/>
    <w:rsid w:val="00270CC3"/>
    <w:rsid w:val="002742BB"/>
    <w:rsid w:val="00274DF6"/>
    <w:rsid w:val="002A18A8"/>
    <w:rsid w:val="002A4203"/>
    <w:rsid w:val="002B3ACC"/>
    <w:rsid w:val="002B5078"/>
    <w:rsid w:val="002B72FC"/>
    <w:rsid w:val="002C6D24"/>
    <w:rsid w:val="002D77F5"/>
    <w:rsid w:val="002E1E17"/>
    <w:rsid w:val="002E7C53"/>
    <w:rsid w:val="002F54B6"/>
    <w:rsid w:val="00301A7F"/>
    <w:rsid w:val="00322535"/>
    <w:rsid w:val="00340C92"/>
    <w:rsid w:val="00345EDA"/>
    <w:rsid w:val="00350D17"/>
    <w:rsid w:val="00351EE2"/>
    <w:rsid w:val="00371A42"/>
    <w:rsid w:val="003756B5"/>
    <w:rsid w:val="00375790"/>
    <w:rsid w:val="00380268"/>
    <w:rsid w:val="00385631"/>
    <w:rsid w:val="00391BD8"/>
    <w:rsid w:val="0039400A"/>
    <w:rsid w:val="003B183E"/>
    <w:rsid w:val="003C0D98"/>
    <w:rsid w:val="003C4D3E"/>
    <w:rsid w:val="003D27B7"/>
    <w:rsid w:val="003E1EED"/>
    <w:rsid w:val="003E2BE0"/>
    <w:rsid w:val="003E3C81"/>
    <w:rsid w:val="003F733A"/>
    <w:rsid w:val="004077FD"/>
    <w:rsid w:val="00407C71"/>
    <w:rsid w:val="004148B9"/>
    <w:rsid w:val="0042424F"/>
    <w:rsid w:val="00427D52"/>
    <w:rsid w:val="00430681"/>
    <w:rsid w:val="00430E4E"/>
    <w:rsid w:val="00443D8F"/>
    <w:rsid w:val="00455DE7"/>
    <w:rsid w:val="0046302A"/>
    <w:rsid w:val="004633EB"/>
    <w:rsid w:val="00482F18"/>
    <w:rsid w:val="00490A4C"/>
    <w:rsid w:val="004A452F"/>
    <w:rsid w:val="004A5AA0"/>
    <w:rsid w:val="004B3764"/>
    <w:rsid w:val="004B531E"/>
    <w:rsid w:val="004C59F1"/>
    <w:rsid w:val="004D30D6"/>
    <w:rsid w:val="004E676A"/>
    <w:rsid w:val="004F1BBE"/>
    <w:rsid w:val="004F2309"/>
    <w:rsid w:val="004F41DD"/>
    <w:rsid w:val="004F429E"/>
    <w:rsid w:val="004F799E"/>
    <w:rsid w:val="00501458"/>
    <w:rsid w:val="005105E7"/>
    <w:rsid w:val="0052510B"/>
    <w:rsid w:val="00525DBA"/>
    <w:rsid w:val="005279C7"/>
    <w:rsid w:val="005421E2"/>
    <w:rsid w:val="00543199"/>
    <w:rsid w:val="005459E1"/>
    <w:rsid w:val="0054793D"/>
    <w:rsid w:val="005617A0"/>
    <w:rsid w:val="005630D6"/>
    <w:rsid w:val="0057083A"/>
    <w:rsid w:val="005806CD"/>
    <w:rsid w:val="005A7E6A"/>
    <w:rsid w:val="005B3611"/>
    <w:rsid w:val="005B673C"/>
    <w:rsid w:val="005C0AF5"/>
    <w:rsid w:val="005C6653"/>
    <w:rsid w:val="005D2263"/>
    <w:rsid w:val="005E2C23"/>
    <w:rsid w:val="005E76A8"/>
    <w:rsid w:val="00602D54"/>
    <w:rsid w:val="00603223"/>
    <w:rsid w:val="00604053"/>
    <w:rsid w:val="006114E2"/>
    <w:rsid w:val="00615DE5"/>
    <w:rsid w:val="00634B12"/>
    <w:rsid w:val="00635029"/>
    <w:rsid w:val="00644A9E"/>
    <w:rsid w:val="006547A7"/>
    <w:rsid w:val="006669C4"/>
    <w:rsid w:val="0067376F"/>
    <w:rsid w:val="00674AA8"/>
    <w:rsid w:val="00692D4B"/>
    <w:rsid w:val="00696621"/>
    <w:rsid w:val="006A6639"/>
    <w:rsid w:val="006B11D0"/>
    <w:rsid w:val="006B50B0"/>
    <w:rsid w:val="006C36DB"/>
    <w:rsid w:val="006D3ED7"/>
    <w:rsid w:val="006E23B1"/>
    <w:rsid w:val="006E3BC3"/>
    <w:rsid w:val="006F1F36"/>
    <w:rsid w:val="006F5165"/>
    <w:rsid w:val="006F585D"/>
    <w:rsid w:val="006F645C"/>
    <w:rsid w:val="006F6EF8"/>
    <w:rsid w:val="00706FD2"/>
    <w:rsid w:val="0071085C"/>
    <w:rsid w:val="00711119"/>
    <w:rsid w:val="007252B9"/>
    <w:rsid w:val="00726F35"/>
    <w:rsid w:val="00740562"/>
    <w:rsid w:val="007719E4"/>
    <w:rsid w:val="00772BFB"/>
    <w:rsid w:val="007758E5"/>
    <w:rsid w:val="007869A1"/>
    <w:rsid w:val="00797094"/>
    <w:rsid w:val="007A675B"/>
    <w:rsid w:val="007B37DD"/>
    <w:rsid w:val="007B48F1"/>
    <w:rsid w:val="007B50F1"/>
    <w:rsid w:val="007C2309"/>
    <w:rsid w:val="007C7DA6"/>
    <w:rsid w:val="007C7F52"/>
    <w:rsid w:val="007D02FF"/>
    <w:rsid w:val="007D54D3"/>
    <w:rsid w:val="007D5BEC"/>
    <w:rsid w:val="007E0846"/>
    <w:rsid w:val="00812575"/>
    <w:rsid w:val="00814B30"/>
    <w:rsid w:val="00823A0E"/>
    <w:rsid w:val="00835B22"/>
    <w:rsid w:val="0086003C"/>
    <w:rsid w:val="0086056D"/>
    <w:rsid w:val="00862066"/>
    <w:rsid w:val="00877929"/>
    <w:rsid w:val="00880DF2"/>
    <w:rsid w:val="00885F9A"/>
    <w:rsid w:val="00894D88"/>
    <w:rsid w:val="008A3E11"/>
    <w:rsid w:val="008B1D9E"/>
    <w:rsid w:val="008B53F2"/>
    <w:rsid w:val="008D189F"/>
    <w:rsid w:val="008D21EA"/>
    <w:rsid w:val="008D252D"/>
    <w:rsid w:val="008D6BDF"/>
    <w:rsid w:val="008D7527"/>
    <w:rsid w:val="008E0C43"/>
    <w:rsid w:val="008E72F4"/>
    <w:rsid w:val="008F519B"/>
    <w:rsid w:val="00901D81"/>
    <w:rsid w:val="00912C7F"/>
    <w:rsid w:val="00937C61"/>
    <w:rsid w:val="009454AA"/>
    <w:rsid w:val="00946C98"/>
    <w:rsid w:val="00951728"/>
    <w:rsid w:val="009533A0"/>
    <w:rsid w:val="0096735F"/>
    <w:rsid w:val="00967411"/>
    <w:rsid w:val="00971307"/>
    <w:rsid w:val="009759B7"/>
    <w:rsid w:val="00977180"/>
    <w:rsid w:val="0098049C"/>
    <w:rsid w:val="009865F8"/>
    <w:rsid w:val="00994736"/>
    <w:rsid w:val="009969D1"/>
    <w:rsid w:val="009A00B3"/>
    <w:rsid w:val="009A0E96"/>
    <w:rsid w:val="009B436C"/>
    <w:rsid w:val="009C40A5"/>
    <w:rsid w:val="009D0157"/>
    <w:rsid w:val="009D0454"/>
    <w:rsid w:val="009D4FC8"/>
    <w:rsid w:val="009E3E39"/>
    <w:rsid w:val="009E5FAA"/>
    <w:rsid w:val="009F1613"/>
    <w:rsid w:val="009F621E"/>
    <w:rsid w:val="009F7766"/>
    <w:rsid w:val="00A0012D"/>
    <w:rsid w:val="00A07508"/>
    <w:rsid w:val="00A1185D"/>
    <w:rsid w:val="00A123A7"/>
    <w:rsid w:val="00A13645"/>
    <w:rsid w:val="00A2655D"/>
    <w:rsid w:val="00A3676B"/>
    <w:rsid w:val="00A428AC"/>
    <w:rsid w:val="00A4439D"/>
    <w:rsid w:val="00A46DE1"/>
    <w:rsid w:val="00A574DD"/>
    <w:rsid w:val="00A57C9F"/>
    <w:rsid w:val="00A62429"/>
    <w:rsid w:val="00A7500C"/>
    <w:rsid w:val="00A814AF"/>
    <w:rsid w:val="00A828F0"/>
    <w:rsid w:val="00A852DF"/>
    <w:rsid w:val="00A85EC1"/>
    <w:rsid w:val="00A95004"/>
    <w:rsid w:val="00A95355"/>
    <w:rsid w:val="00A96947"/>
    <w:rsid w:val="00A979F5"/>
    <w:rsid w:val="00AB1F08"/>
    <w:rsid w:val="00AB4D8B"/>
    <w:rsid w:val="00AF4A0D"/>
    <w:rsid w:val="00B03BD7"/>
    <w:rsid w:val="00B11F7F"/>
    <w:rsid w:val="00B1488D"/>
    <w:rsid w:val="00B22F3D"/>
    <w:rsid w:val="00B2678F"/>
    <w:rsid w:val="00B446CF"/>
    <w:rsid w:val="00B53EF6"/>
    <w:rsid w:val="00B60C4C"/>
    <w:rsid w:val="00B6410D"/>
    <w:rsid w:val="00B64E7A"/>
    <w:rsid w:val="00B679BD"/>
    <w:rsid w:val="00B80B19"/>
    <w:rsid w:val="00B84DB6"/>
    <w:rsid w:val="00B920DE"/>
    <w:rsid w:val="00BC303F"/>
    <w:rsid w:val="00BC3EAD"/>
    <w:rsid w:val="00BD1FA3"/>
    <w:rsid w:val="00BE639E"/>
    <w:rsid w:val="00BE6A6B"/>
    <w:rsid w:val="00BF77C3"/>
    <w:rsid w:val="00C01E89"/>
    <w:rsid w:val="00C04351"/>
    <w:rsid w:val="00C11997"/>
    <w:rsid w:val="00C15C08"/>
    <w:rsid w:val="00C225B9"/>
    <w:rsid w:val="00C24234"/>
    <w:rsid w:val="00C2430D"/>
    <w:rsid w:val="00C3099F"/>
    <w:rsid w:val="00C44E9A"/>
    <w:rsid w:val="00C53111"/>
    <w:rsid w:val="00C55667"/>
    <w:rsid w:val="00C62103"/>
    <w:rsid w:val="00C64680"/>
    <w:rsid w:val="00C7048D"/>
    <w:rsid w:val="00C72BB0"/>
    <w:rsid w:val="00C75869"/>
    <w:rsid w:val="00C837C3"/>
    <w:rsid w:val="00C844B1"/>
    <w:rsid w:val="00C876D4"/>
    <w:rsid w:val="00C87E8D"/>
    <w:rsid w:val="00C909D6"/>
    <w:rsid w:val="00C90AC1"/>
    <w:rsid w:val="00C93B9C"/>
    <w:rsid w:val="00C94D19"/>
    <w:rsid w:val="00CD5131"/>
    <w:rsid w:val="00CF2EF9"/>
    <w:rsid w:val="00D0057B"/>
    <w:rsid w:val="00D016C7"/>
    <w:rsid w:val="00D07BC7"/>
    <w:rsid w:val="00D10BD3"/>
    <w:rsid w:val="00D2425D"/>
    <w:rsid w:val="00D25BF6"/>
    <w:rsid w:val="00D353D0"/>
    <w:rsid w:val="00D359CF"/>
    <w:rsid w:val="00D45535"/>
    <w:rsid w:val="00D53A76"/>
    <w:rsid w:val="00D53BE4"/>
    <w:rsid w:val="00D57961"/>
    <w:rsid w:val="00D62ED9"/>
    <w:rsid w:val="00D72B16"/>
    <w:rsid w:val="00D84FB8"/>
    <w:rsid w:val="00D90AEE"/>
    <w:rsid w:val="00D94457"/>
    <w:rsid w:val="00DC33F8"/>
    <w:rsid w:val="00DD5301"/>
    <w:rsid w:val="00DD5954"/>
    <w:rsid w:val="00DE0894"/>
    <w:rsid w:val="00E01AA0"/>
    <w:rsid w:val="00E12EEA"/>
    <w:rsid w:val="00E25048"/>
    <w:rsid w:val="00E35F64"/>
    <w:rsid w:val="00E41D4D"/>
    <w:rsid w:val="00E447FC"/>
    <w:rsid w:val="00E60A96"/>
    <w:rsid w:val="00E616EC"/>
    <w:rsid w:val="00E8485A"/>
    <w:rsid w:val="00E86EAE"/>
    <w:rsid w:val="00E951EB"/>
    <w:rsid w:val="00EA6075"/>
    <w:rsid w:val="00EA78CC"/>
    <w:rsid w:val="00EB3D40"/>
    <w:rsid w:val="00EC4B79"/>
    <w:rsid w:val="00ED3D13"/>
    <w:rsid w:val="00EE2126"/>
    <w:rsid w:val="00EE6B2C"/>
    <w:rsid w:val="00EF421E"/>
    <w:rsid w:val="00EF7C74"/>
    <w:rsid w:val="00F019A3"/>
    <w:rsid w:val="00F0509B"/>
    <w:rsid w:val="00F06AA6"/>
    <w:rsid w:val="00F1102D"/>
    <w:rsid w:val="00F238CD"/>
    <w:rsid w:val="00F30E8F"/>
    <w:rsid w:val="00F4634F"/>
    <w:rsid w:val="00F4732A"/>
    <w:rsid w:val="00F51095"/>
    <w:rsid w:val="00F53892"/>
    <w:rsid w:val="00F617E2"/>
    <w:rsid w:val="00F61CF8"/>
    <w:rsid w:val="00F70AFC"/>
    <w:rsid w:val="00F82BF1"/>
    <w:rsid w:val="00F87665"/>
    <w:rsid w:val="00F97A6F"/>
    <w:rsid w:val="00FA5F67"/>
    <w:rsid w:val="00FB0936"/>
    <w:rsid w:val="00FC0FEA"/>
    <w:rsid w:val="00FC4DA0"/>
    <w:rsid w:val="00FD10C3"/>
    <w:rsid w:val="00FD12E2"/>
    <w:rsid w:val="00FD13E0"/>
    <w:rsid w:val="00FD1A9B"/>
    <w:rsid w:val="00FD5AE5"/>
    <w:rsid w:val="00FD6815"/>
    <w:rsid w:val="00FF244C"/>
    <w:rsid w:val="00FF561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34246"/>
  <w15:docId w15:val="{67853915-EEF8-4797-98FF-AFDF61E5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EF6"/>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character" w:styleId="CommentReference">
    <w:name w:val="annotation reference"/>
    <w:basedOn w:val="DefaultParagraphFont"/>
    <w:semiHidden/>
    <w:unhideWhenUsed/>
    <w:rsid w:val="00603223"/>
    <w:rPr>
      <w:sz w:val="16"/>
      <w:szCs w:val="16"/>
    </w:rPr>
  </w:style>
  <w:style w:type="paragraph" w:styleId="CommentText">
    <w:name w:val="annotation text"/>
    <w:basedOn w:val="Normal"/>
    <w:link w:val="CommentTextChar"/>
    <w:unhideWhenUsed/>
    <w:rsid w:val="00603223"/>
    <w:pPr>
      <w:spacing w:line="240" w:lineRule="auto"/>
    </w:pPr>
    <w:rPr>
      <w:sz w:val="20"/>
      <w:szCs w:val="20"/>
    </w:rPr>
  </w:style>
  <w:style w:type="character" w:customStyle="1" w:styleId="CommentTextChar">
    <w:name w:val="Comment Text Char"/>
    <w:basedOn w:val="DefaultParagraphFont"/>
    <w:link w:val="CommentText"/>
    <w:rsid w:val="00603223"/>
    <w:rPr>
      <w:rFonts w:ascii="Arial" w:hAnsi="Arial"/>
    </w:rPr>
  </w:style>
  <w:style w:type="paragraph" w:styleId="CommentSubject">
    <w:name w:val="annotation subject"/>
    <w:basedOn w:val="CommentText"/>
    <w:next w:val="CommentText"/>
    <w:link w:val="CommentSubjectChar"/>
    <w:semiHidden/>
    <w:unhideWhenUsed/>
    <w:rsid w:val="00603223"/>
    <w:rPr>
      <w:b/>
      <w:bCs/>
    </w:rPr>
  </w:style>
  <w:style w:type="character" w:customStyle="1" w:styleId="CommentSubjectChar">
    <w:name w:val="Comment Subject Char"/>
    <w:basedOn w:val="CommentTextChar"/>
    <w:link w:val="CommentSubject"/>
    <w:semiHidden/>
    <w:rsid w:val="00603223"/>
    <w:rPr>
      <w:rFonts w:ascii="Arial" w:hAnsi="Arial"/>
      <w:b/>
      <w:bCs/>
    </w:rPr>
  </w:style>
  <w:style w:type="paragraph" w:styleId="Revision">
    <w:name w:val="Revision"/>
    <w:hidden/>
    <w:uiPriority w:val="99"/>
    <w:semiHidden/>
    <w:rsid w:val="005B673C"/>
    <w:rPr>
      <w:rFonts w:ascii="Arial" w:hAnsi="Arial"/>
      <w:sz w:val="22"/>
      <w:szCs w:val="22"/>
    </w:rPr>
  </w:style>
  <w:style w:type="paragraph" w:styleId="ListParagraph">
    <w:name w:val="List Paragraph"/>
    <w:basedOn w:val="Normal"/>
    <w:uiPriority w:val="34"/>
    <w:semiHidden/>
    <w:qFormat/>
    <w:rsid w:val="00674AA8"/>
    <w:pPr>
      <w:ind w:left="720"/>
      <w:contextualSpacing/>
    </w:pPr>
  </w:style>
  <w:style w:type="paragraph" w:styleId="FootnoteText">
    <w:name w:val="footnote text"/>
    <w:basedOn w:val="Normal"/>
    <w:link w:val="FootnoteTextChar"/>
    <w:unhideWhenUsed/>
    <w:rsid w:val="001209C6"/>
    <w:pPr>
      <w:spacing w:line="240" w:lineRule="auto"/>
    </w:pPr>
    <w:rPr>
      <w:sz w:val="20"/>
      <w:szCs w:val="20"/>
    </w:rPr>
  </w:style>
  <w:style w:type="character" w:customStyle="1" w:styleId="FootnoteTextChar">
    <w:name w:val="Footnote Text Char"/>
    <w:basedOn w:val="DefaultParagraphFont"/>
    <w:link w:val="FootnoteText"/>
    <w:rsid w:val="001209C6"/>
    <w:rPr>
      <w:rFonts w:ascii="Arial" w:hAnsi="Arial"/>
    </w:rPr>
  </w:style>
  <w:style w:type="character" w:styleId="FootnoteReference">
    <w:name w:val="footnote reference"/>
    <w:basedOn w:val="DefaultParagraphFont"/>
    <w:semiHidden/>
    <w:unhideWhenUsed/>
    <w:rsid w:val="001209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8E4E766F18B74E8325D971750679D4" ma:contentTypeVersion="6" ma:contentTypeDescription="Create a new document." ma:contentTypeScope="" ma:versionID="1bd029ac33803fb2c30df1a84aefe61f">
  <xsd:schema xmlns:xsd="http://www.w3.org/2001/XMLSchema" xmlns:xs="http://www.w3.org/2001/XMLSchema" xmlns:p="http://schemas.microsoft.com/office/2006/metadata/properties" xmlns:ns2="6e9fcffe-6b60-48bc-961e-143cb50e0a43" xmlns:ns3="439bf64f-24da-40f6-85ec-533cb0e3d17a" targetNamespace="http://schemas.microsoft.com/office/2006/metadata/properties" ma:root="true" ma:fieldsID="366e4d18d0e0c98e64abf7224d3c06cd" ns2:_="" ns3:_="">
    <xsd:import namespace="6e9fcffe-6b60-48bc-961e-143cb50e0a43"/>
    <xsd:import namespace="439bf64f-24da-40f6-85ec-533cb0e3d1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fcffe-6b60-48bc-961e-143cb50e0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f64f-24da-40f6-85ec-533cb0e3d1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p r o p e r t i e s   x m l n s = " h t t p : / / w w w . i m a n a g e . c o m / w o r k / x m l s c h e m a " >  
     < d o c u m e n t i d > E U ! 4 6 9 8 4 9 5 2 . 1 < / d o c u m e n t i d >  
     < s e n d e r i d > E H L < / s e n d e r i d >  
     < s e n d e r e m a i l > E T H A N . L E E S @ W I T H E R S W O R L D W I D E . C O M < / s e n d e r e m a i l >  
     < l a s t m o d i f i e d > 2 0 2 5 - 0 1 - 2 1 T 1 6 : 0 4 : 0 0 . 0 0 0 0 0 0 0 + 0 0 : 0 0 < / l a s t m o d i f i e d >  
     < d a t a b a s e > E U < / d a t a b a s e >  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C608C-6A41-4B64-94B4-9D3C477C8934}">
  <ds:schemaRefs>
    <ds:schemaRef ds:uri="http://schemas.microsoft.com/sharepoint/v3/contenttype/forms"/>
  </ds:schemaRefs>
</ds:datastoreItem>
</file>

<file path=customXml/itemProps2.xml><?xml version="1.0" encoding="utf-8"?>
<ds:datastoreItem xmlns:ds="http://schemas.openxmlformats.org/officeDocument/2006/customXml" ds:itemID="{98454488-ACEA-47AA-AF1A-8A5EE2B12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fcffe-6b60-48bc-961e-143cb50e0a43"/>
    <ds:schemaRef ds:uri="439bf64f-24da-40f6-85ec-533cb0e3d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F1A54-47B5-4D34-AC80-9B0D575D40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059536-F285-4FC3-BB6C-78A5E8D0F404}">
  <ds:schemaRefs>
    <ds:schemaRef ds:uri="http://www.imanage.com/work/xmlschema"/>
  </ds:schemaRefs>
</ds:datastoreItem>
</file>

<file path=customXml/itemProps5.xml><?xml version="1.0" encoding="utf-8"?>
<ds:datastoreItem xmlns:ds="http://schemas.openxmlformats.org/officeDocument/2006/customXml" ds:itemID="{3E0C20F2-1080-4DC1-B003-41650136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5</TotalTime>
  <Pages>4</Pages>
  <Words>1477</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Hampton</dc:creator>
  <cp:lastModifiedBy>Jennifer Smith</cp:lastModifiedBy>
  <cp:revision>6</cp:revision>
  <cp:lastPrinted>1900-01-01T00:00:00Z</cp:lastPrinted>
  <dcterms:created xsi:type="dcterms:W3CDTF">2025-01-31T09:45:00Z</dcterms:created>
  <dcterms:modified xsi:type="dcterms:W3CDTF">2025-02-12T18:00:00Z</dcterms:modified>
</cp:coreProperties>
</file>