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B0FE" w14:textId="77777777" w:rsidR="009F7766" w:rsidRDefault="009F7766" w:rsidP="004D30D6">
      <w:pPr>
        <w:sectPr w:rsidR="009F7766" w:rsidSect="002F54B6">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284" w:footer="510" w:gutter="0"/>
          <w:cols w:space="720"/>
        </w:sectPr>
      </w:pPr>
    </w:p>
    <w:p w14:paraId="124CD240" w14:textId="0C045BC8" w:rsidR="00170447" w:rsidRDefault="000103F7" w:rsidP="00FF5610">
      <w:pPr>
        <w:pStyle w:val="Title"/>
        <w:spacing w:before="0"/>
      </w:pPr>
      <w:r>
        <w:t xml:space="preserve">Risk </w:t>
      </w:r>
      <w:r w:rsidR="00E8485A">
        <w:t>Committee</w:t>
      </w:r>
    </w:p>
    <w:p w14:paraId="282A89CA" w14:textId="55F49E0B" w:rsidR="00170447" w:rsidRDefault="00E8485A" w:rsidP="00170447">
      <w:pPr>
        <w:pStyle w:val="Heading2"/>
      </w:pPr>
      <w:r>
        <w:t>terms of reference</w:t>
      </w:r>
      <w:r w:rsidR="005B673C">
        <w:t xml:space="preserve"> </w:t>
      </w:r>
      <w:r w:rsidR="00603223">
        <w:t xml:space="preserve"> </w:t>
      </w:r>
    </w:p>
    <w:p w14:paraId="02F4C821" w14:textId="146ECEFD" w:rsidR="00E8485A" w:rsidRDefault="005B673C" w:rsidP="00E8485A">
      <w:pPr>
        <w:pStyle w:val="Heading3"/>
      </w:pPr>
      <w:r>
        <w:t xml:space="preserve">Purpose and </w:t>
      </w:r>
      <w:r w:rsidR="00E8485A">
        <w:t>Accountability</w:t>
      </w:r>
    </w:p>
    <w:p w14:paraId="6DF74FF4" w14:textId="3C442761" w:rsidR="005B673C" w:rsidRDefault="005B673C" w:rsidP="005B673C">
      <w:pPr>
        <w:pStyle w:val="BodyText"/>
        <w:numPr>
          <w:ilvl w:val="0"/>
          <w:numId w:val="41"/>
        </w:numPr>
        <w:spacing w:after="120"/>
      </w:pPr>
      <w:r>
        <w:t xml:space="preserve">The </w:t>
      </w:r>
      <w:r w:rsidR="000103F7">
        <w:t xml:space="preserve">Risk </w:t>
      </w:r>
      <w:r>
        <w:t xml:space="preserve">Committee </w:t>
      </w:r>
      <w:r w:rsidR="00937C61">
        <w:t>has delegated responsibility</w:t>
      </w:r>
      <w:r w:rsidR="00CF2EF9">
        <w:t xml:space="preserve"> for</w:t>
      </w:r>
      <w:r>
        <w:t xml:space="preserve"> </w:t>
      </w:r>
      <w:r w:rsidR="000103F7">
        <w:t xml:space="preserve">the management of risk relating to the strategy and operations of ICAEW. </w:t>
      </w:r>
    </w:p>
    <w:p w14:paraId="03AE40E1" w14:textId="67266A11" w:rsidR="00E8485A" w:rsidRDefault="00E8485A" w:rsidP="005B673C">
      <w:pPr>
        <w:pStyle w:val="BodyText"/>
        <w:numPr>
          <w:ilvl w:val="0"/>
          <w:numId w:val="41"/>
        </w:numPr>
        <w:spacing w:after="120"/>
      </w:pPr>
      <w:r>
        <w:t xml:space="preserve">The </w:t>
      </w:r>
      <w:r w:rsidR="000773ED">
        <w:t xml:space="preserve">Risk </w:t>
      </w:r>
      <w:r>
        <w:t>Committee is accountable to ICAEW Board.</w:t>
      </w:r>
      <w:r w:rsidR="000103F7">
        <w:t xml:space="preserve"> </w:t>
      </w:r>
    </w:p>
    <w:p w14:paraId="20D067E2" w14:textId="77777777" w:rsidR="00D72B16" w:rsidRDefault="00D72B16" w:rsidP="00D72B16">
      <w:pPr>
        <w:pStyle w:val="BodyText"/>
        <w:ind w:left="360"/>
      </w:pPr>
    </w:p>
    <w:p w14:paraId="2973D3AC" w14:textId="77777777" w:rsidR="00E8485A" w:rsidRDefault="00E8485A" w:rsidP="00E8485A">
      <w:pPr>
        <w:pStyle w:val="Heading3"/>
      </w:pPr>
      <w:r>
        <w:t>Composition</w:t>
      </w:r>
    </w:p>
    <w:p w14:paraId="5B8C3125" w14:textId="2F96FD25" w:rsidR="00E8485A" w:rsidRDefault="00E8485A" w:rsidP="005B673C">
      <w:pPr>
        <w:pStyle w:val="BodyText"/>
        <w:numPr>
          <w:ilvl w:val="0"/>
          <w:numId w:val="41"/>
        </w:numPr>
        <w:spacing w:after="120"/>
      </w:pPr>
      <w:r>
        <w:t xml:space="preserve">The Committee comprises up to </w:t>
      </w:r>
      <w:r w:rsidR="00F06AA6" w:rsidRPr="00F82BF1">
        <w:t>five</w:t>
      </w:r>
      <w:r w:rsidR="005B673C">
        <w:t xml:space="preserve"> </w:t>
      </w:r>
      <w:r>
        <w:t>members</w:t>
      </w:r>
      <w:r w:rsidR="001209C6">
        <w:t>, appointed on the basis of their skills and expertise</w:t>
      </w:r>
      <w:r>
        <w:t xml:space="preserve">. </w:t>
      </w:r>
    </w:p>
    <w:p w14:paraId="26972C7D" w14:textId="77FA8BEF" w:rsidR="005B673C" w:rsidRDefault="005B673C" w:rsidP="005B673C">
      <w:pPr>
        <w:pStyle w:val="BodyText"/>
        <w:numPr>
          <w:ilvl w:val="0"/>
          <w:numId w:val="41"/>
        </w:numPr>
        <w:spacing w:after="120"/>
      </w:pPr>
      <w:r>
        <w:t xml:space="preserve">The majority </w:t>
      </w:r>
      <w:r w:rsidR="008B1D9E">
        <w:t xml:space="preserve">of the members of the Committee must be </w:t>
      </w:r>
      <w:r w:rsidR="00F617E2">
        <w:t xml:space="preserve">non-executive </w:t>
      </w:r>
      <w:r w:rsidR="008B1D9E">
        <w:t>members of ICAEW Board.</w:t>
      </w:r>
      <w:r w:rsidR="00E853C8">
        <w:t xml:space="preserve"> The Chair of the Board may not be a member of the Committee.</w:t>
      </w:r>
    </w:p>
    <w:p w14:paraId="06AFFF2D" w14:textId="2DFFA879" w:rsidR="008B1D9E" w:rsidRDefault="008B1D9E" w:rsidP="005B673C">
      <w:pPr>
        <w:pStyle w:val="BodyText"/>
        <w:numPr>
          <w:ilvl w:val="0"/>
          <w:numId w:val="41"/>
        </w:numPr>
        <w:spacing w:after="120"/>
      </w:pPr>
      <w:r>
        <w:t xml:space="preserve">The Chair of the Committee is a member of ICAEW Board. </w:t>
      </w:r>
      <w:r w:rsidR="00E853C8">
        <w:t>T</w:t>
      </w:r>
      <w:r>
        <w:t xml:space="preserve">he President may </w:t>
      </w:r>
      <w:r w:rsidR="00E853C8">
        <w:t xml:space="preserve">not </w:t>
      </w:r>
      <w:r>
        <w:t xml:space="preserve">chair the Committee. </w:t>
      </w:r>
    </w:p>
    <w:p w14:paraId="065F286C" w14:textId="77777777" w:rsidR="009A00B3" w:rsidRDefault="009A00B3" w:rsidP="009A00B3">
      <w:pPr>
        <w:pStyle w:val="BodyText"/>
        <w:numPr>
          <w:ilvl w:val="0"/>
          <w:numId w:val="41"/>
        </w:numPr>
        <w:spacing w:after="120"/>
      </w:pPr>
      <w:r>
        <w:t>No member of ICAEW staff may be a member of the Committee.</w:t>
      </w:r>
    </w:p>
    <w:p w14:paraId="0B9E60D3" w14:textId="77777777" w:rsidR="009A00B3" w:rsidRPr="000914DB" w:rsidRDefault="009A00B3" w:rsidP="009A00B3">
      <w:pPr>
        <w:pStyle w:val="BodyText"/>
        <w:numPr>
          <w:ilvl w:val="0"/>
          <w:numId w:val="41"/>
        </w:numPr>
        <w:spacing w:after="120"/>
      </w:pPr>
      <w:r w:rsidRPr="000914DB">
        <w:t xml:space="preserve">No members of the Committee may also be members of ICAEW Council concurrently, except for the President. </w:t>
      </w:r>
    </w:p>
    <w:p w14:paraId="79FB82E2" w14:textId="77777777" w:rsidR="00791DC4" w:rsidRDefault="00791DC4" w:rsidP="00791DC4">
      <w:pPr>
        <w:pStyle w:val="BodyText"/>
        <w:numPr>
          <w:ilvl w:val="0"/>
          <w:numId w:val="41"/>
        </w:numPr>
        <w:spacing w:after="120"/>
      </w:pPr>
      <w:r w:rsidRPr="000914DB">
        <w:t>Appointments to the Committee are approved</w:t>
      </w:r>
      <w:r>
        <w:t xml:space="preserve"> by the Board on recommendation of the Board Nomination Committee and reported to the Governance and Appointments Committee. </w:t>
      </w:r>
    </w:p>
    <w:p w14:paraId="4D516928" w14:textId="016A73DA" w:rsidR="00C01E3F" w:rsidRDefault="00791DC4" w:rsidP="00791DC4">
      <w:pPr>
        <w:pStyle w:val="BodyText"/>
        <w:numPr>
          <w:ilvl w:val="0"/>
          <w:numId w:val="41"/>
        </w:numPr>
        <w:spacing w:after="120"/>
      </w:pPr>
      <w:r w:rsidRPr="000914DB">
        <w:t>The term of office is</w:t>
      </w:r>
      <w:r>
        <w:t xml:space="preserve"> up to </w:t>
      </w:r>
      <w:r w:rsidRPr="000914DB">
        <w:t>three years, renewable once</w:t>
      </w:r>
      <w:r>
        <w:t xml:space="preserve"> and for a third term </w:t>
      </w:r>
      <w:r w:rsidRPr="000914DB">
        <w:t>in exceptional circumstances</w:t>
      </w:r>
      <w:r>
        <w:t xml:space="preserve">. </w:t>
      </w:r>
    </w:p>
    <w:p w14:paraId="6F7A850B" w14:textId="77A38EE7" w:rsidR="00C01E3F" w:rsidRDefault="009E5FAA" w:rsidP="00C01E3F">
      <w:pPr>
        <w:pStyle w:val="BodyText"/>
        <w:numPr>
          <w:ilvl w:val="0"/>
          <w:numId w:val="41"/>
        </w:numPr>
        <w:spacing w:after="120"/>
      </w:pPr>
      <w:r w:rsidRPr="00912C7F">
        <w:t>The quorum is three</w:t>
      </w:r>
      <w:r w:rsidR="00237779">
        <w:t xml:space="preserve"> with a non-executive board member majority.</w:t>
      </w:r>
    </w:p>
    <w:p w14:paraId="22D8EA39" w14:textId="77777777" w:rsidR="00D72B16" w:rsidRDefault="00D72B16" w:rsidP="00D72B16">
      <w:pPr>
        <w:pStyle w:val="Heading3"/>
        <w:spacing w:after="0"/>
      </w:pPr>
    </w:p>
    <w:p w14:paraId="1C236468" w14:textId="470EEE4D" w:rsidR="00E8485A" w:rsidRDefault="00E8485A" w:rsidP="00E8485A">
      <w:pPr>
        <w:pStyle w:val="Heading3"/>
      </w:pPr>
      <w:r>
        <w:t>Powers and Authorities</w:t>
      </w:r>
      <w:r>
        <w:tab/>
      </w:r>
    </w:p>
    <w:p w14:paraId="14CFBC35" w14:textId="37CD9E7A" w:rsidR="00E8485A" w:rsidRDefault="00E8485A" w:rsidP="005B673C">
      <w:pPr>
        <w:pStyle w:val="BodyText"/>
        <w:numPr>
          <w:ilvl w:val="0"/>
          <w:numId w:val="41"/>
        </w:numPr>
        <w:spacing w:after="120"/>
      </w:pPr>
      <w:r>
        <w:t xml:space="preserve">The Committee </w:t>
      </w:r>
      <w:r w:rsidR="007C2309">
        <w:t>has the following specific powers, responsibilities and authorities</w:t>
      </w:r>
      <w:r w:rsidR="00391BD8">
        <w:t xml:space="preserve"> delegated by the Board</w:t>
      </w:r>
      <w:r w:rsidR="007C2309">
        <w:t>:</w:t>
      </w:r>
    </w:p>
    <w:p w14:paraId="04037963" w14:textId="3ECFD625" w:rsidR="00F13F93" w:rsidRDefault="00F13F93" w:rsidP="00F13F93">
      <w:pPr>
        <w:pStyle w:val="BodyText"/>
        <w:numPr>
          <w:ilvl w:val="1"/>
          <w:numId w:val="41"/>
        </w:numPr>
        <w:spacing w:after="120" w:line="240" w:lineRule="auto"/>
        <w:rPr>
          <w:color w:val="000000" w:themeColor="text1"/>
        </w:rPr>
      </w:pPr>
      <w:r w:rsidRPr="00F13F93">
        <w:rPr>
          <w:color w:val="000000" w:themeColor="text1"/>
        </w:rPr>
        <w:t>t</w:t>
      </w:r>
      <w:r w:rsidR="000103F7" w:rsidRPr="00F13F93">
        <w:rPr>
          <w:color w:val="000000" w:themeColor="text1"/>
        </w:rPr>
        <w:t xml:space="preserve">o advise ICAEW Board on overall risk appetite, tolerance and strategy and the principal and emerging risks </w:t>
      </w:r>
      <w:r w:rsidR="00147132">
        <w:t>accepted or proposed to be accepted by ICAEW in order</w:t>
      </w:r>
      <w:r w:rsidR="00147132" w:rsidRPr="00F13F93">
        <w:rPr>
          <w:color w:val="000000" w:themeColor="text1"/>
        </w:rPr>
        <w:t xml:space="preserve"> </w:t>
      </w:r>
      <w:r w:rsidR="000103F7" w:rsidRPr="00F13F93">
        <w:rPr>
          <w:color w:val="000000" w:themeColor="text1"/>
        </w:rPr>
        <w:t>to achieve its long-term strategic objectives.</w:t>
      </w:r>
      <w:r w:rsidR="00147132" w:rsidRPr="00147132">
        <w:t xml:space="preserve"> </w:t>
      </w:r>
    </w:p>
    <w:p w14:paraId="7373E85C" w14:textId="7A6B1DE8" w:rsidR="000103F7" w:rsidRPr="00F13F93" w:rsidRDefault="00F13F93">
      <w:pPr>
        <w:pStyle w:val="BodyText"/>
        <w:numPr>
          <w:ilvl w:val="1"/>
          <w:numId w:val="41"/>
        </w:numPr>
        <w:spacing w:after="120" w:line="240" w:lineRule="auto"/>
        <w:rPr>
          <w:color w:val="000000" w:themeColor="text1"/>
        </w:rPr>
      </w:pPr>
      <w:r w:rsidRPr="00F13F93">
        <w:rPr>
          <w:bCs/>
          <w:color w:val="000000" w:themeColor="text1"/>
        </w:rPr>
        <w:t>t</w:t>
      </w:r>
      <w:r w:rsidR="000103F7" w:rsidRPr="00F13F93">
        <w:rPr>
          <w:bCs/>
          <w:color w:val="000000" w:themeColor="text1"/>
        </w:rPr>
        <w:t xml:space="preserve">o seek assurance on the risks </w:t>
      </w:r>
      <w:r w:rsidR="00147132">
        <w:rPr>
          <w:bCs/>
          <w:color w:val="000000" w:themeColor="text1"/>
        </w:rPr>
        <w:t xml:space="preserve">to which </w:t>
      </w:r>
      <w:r w:rsidR="000103F7" w:rsidRPr="00F13F93">
        <w:rPr>
          <w:bCs/>
          <w:color w:val="000000" w:themeColor="text1"/>
        </w:rPr>
        <w:t xml:space="preserve">ICAEW </w:t>
      </w:r>
      <w:r w:rsidR="00147132">
        <w:rPr>
          <w:bCs/>
          <w:color w:val="000000" w:themeColor="text1"/>
        </w:rPr>
        <w:t xml:space="preserve">is exposed </w:t>
      </w:r>
      <w:r w:rsidR="000103F7" w:rsidRPr="00F13F93">
        <w:rPr>
          <w:bCs/>
          <w:color w:val="000000" w:themeColor="text1"/>
        </w:rPr>
        <w:t>including:</w:t>
      </w:r>
    </w:p>
    <w:p w14:paraId="40A60BB5"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Reputational risk</w:t>
      </w:r>
    </w:p>
    <w:p w14:paraId="3D1BE304"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Operational risk</w:t>
      </w:r>
    </w:p>
    <w:p w14:paraId="71E0D622"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Threats to ICAEW’s business model</w:t>
      </w:r>
    </w:p>
    <w:p w14:paraId="5983D3B5"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IT Operations and cyber risk</w:t>
      </w:r>
    </w:p>
    <w:p w14:paraId="315D9C40"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Ethical codes</w:t>
      </w:r>
    </w:p>
    <w:p w14:paraId="6F400064" w14:textId="77777777" w:rsidR="000103F7" w:rsidRPr="00272C76" w:rsidRDefault="000103F7" w:rsidP="000103F7">
      <w:pPr>
        <w:pStyle w:val="ListParagraph"/>
        <w:numPr>
          <w:ilvl w:val="0"/>
          <w:numId w:val="48"/>
        </w:numPr>
        <w:spacing w:line="240" w:lineRule="auto"/>
        <w:rPr>
          <w:bCs/>
          <w:color w:val="000000" w:themeColor="text1"/>
        </w:rPr>
      </w:pPr>
      <w:r w:rsidRPr="00272C76">
        <w:rPr>
          <w:bCs/>
          <w:color w:val="000000" w:themeColor="text1"/>
        </w:rPr>
        <w:t>Regulatory risk</w:t>
      </w:r>
    </w:p>
    <w:p w14:paraId="055BDE90" w14:textId="77777777" w:rsidR="000103F7" w:rsidRDefault="000103F7" w:rsidP="000103F7">
      <w:pPr>
        <w:pStyle w:val="ListParagraph"/>
        <w:numPr>
          <w:ilvl w:val="0"/>
          <w:numId w:val="48"/>
        </w:numPr>
        <w:spacing w:line="240" w:lineRule="auto"/>
        <w:rPr>
          <w:bCs/>
          <w:color w:val="000000" w:themeColor="text1"/>
        </w:rPr>
      </w:pPr>
      <w:r w:rsidRPr="00272C76">
        <w:rPr>
          <w:bCs/>
          <w:color w:val="000000" w:themeColor="text1"/>
        </w:rPr>
        <w:t>Health and safety</w:t>
      </w:r>
    </w:p>
    <w:p w14:paraId="2C3B76F6" w14:textId="77777777" w:rsidR="00F92EB8" w:rsidRPr="00272C76" w:rsidRDefault="00F92EB8">
      <w:pPr>
        <w:pStyle w:val="ListParagraph"/>
        <w:spacing w:line="240" w:lineRule="auto"/>
        <w:ind w:left="2160"/>
        <w:rPr>
          <w:bCs/>
          <w:color w:val="000000" w:themeColor="text1"/>
        </w:rPr>
      </w:pPr>
    </w:p>
    <w:p w14:paraId="02522BFB" w14:textId="77777777" w:rsidR="00F13F93" w:rsidRDefault="00F13F93" w:rsidP="00F13F93">
      <w:pPr>
        <w:pStyle w:val="BodyText"/>
        <w:numPr>
          <w:ilvl w:val="1"/>
          <w:numId w:val="41"/>
        </w:numPr>
        <w:spacing w:after="120" w:line="240" w:lineRule="auto"/>
        <w:rPr>
          <w:bCs/>
          <w:color w:val="000000" w:themeColor="text1"/>
        </w:rPr>
      </w:pPr>
      <w:r w:rsidRPr="00F13F93">
        <w:rPr>
          <w:bCs/>
          <w:color w:val="000000" w:themeColor="text1"/>
        </w:rPr>
        <w:lastRenderedPageBreak/>
        <w:t>t</w:t>
      </w:r>
      <w:r w:rsidR="000103F7" w:rsidRPr="00F13F93">
        <w:rPr>
          <w:bCs/>
          <w:color w:val="000000" w:themeColor="text1"/>
        </w:rPr>
        <w:t>o advise the Board on the likelihood and the impact of principal risks materialising, and the management and mitigation of principal risks to reduce the likelihood of their incidence or their impact.</w:t>
      </w:r>
    </w:p>
    <w:p w14:paraId="4003FE55" w14:textId="6DCA3B4F" w:rsidR="000103F7" w:rsidRPr="00F13F93" w:rsidRDefault="00F13F93">
      <w:pPr>
        <w:pStyle w:val="BodyText"/>
        <w:numPr>
          <w:ilvl w:val="1"/>
          <w:numId w:val="41"/>
        </w:numPr>
        <w:spacing w:after="120" w:line="240" w:lineRule="auto"/>
        <w:rPr>
          <w:bCs/>
          <w:color w:val="000000" w:themeColor="text1"/>
        </w:rPr>
      </w:pPr>
      <w:r w:rsidRPr="00F13F93">
        <w:rPr>
          <w:color w:val="000000" w:themeColor="text1"/>
        </w:rPr>
        <w:t>t</w:t>
      </w:r>
      <w:r w:rsidR="000103F7" w:rsidRPr="00F13F93">
        <w:rPr>
          <w:color w:val="000000" w:themeColor="text1"/>
        </w:rPr>
        <w:t>o advise the Board on the risk aspects of proposed changes to strategy and strategic transactions including acquisitions or disposals, ensuring that a due diligence appraisal of the proposition is undertaken, focusing in particular on implications for the risk appetite, tolerance and strategy of ICAEW, and taking independent external advice where appropriate and available.</w:t>
      </w:r>
    </w:p>
    <w:p w14:paraId="7440EBB3" w14:textId="77777777" w:rsidR="000103F7" w:rsidRPr="00272C76" w:rsidRDefault="000103F7" w:rsidP="000103F7">
      <w:pPr>
        <w:pStyle w:val="ListParagraph"/>
        <w:ind w:left="1560"/>
        <w:rPr>
          <w:color w:val="000000" w:themeColor="text1"/>
        </w:rPr>
      </w:pPr>
    </w:p>
    <w:p w14:paraId="799F36A6" w14:textId="529481F5" w:rsidR="000103F7" w:rsidRDefault="00F13F93">
      <w:pPr>
        <w:pStyle w:val="ListParagraph"/>
        <w:numPr>
          <w:ilvl w:val="0"/>
          <w:numId w:val="41"/>
        </w:numPr>
        <w:spacing w:line="240" w:lineRule="auto"/>
        <w:rPr>
          <w:color w:val="000000" w:themeColor="text1"/>
        </w:rPr>
      </w:pPr>
      <w:r>
        <w:rPr>
          <w:color w:val="000000" w:themeColor="text1"/>
        </w:rPr>
        <w:t>T</w:t>
      </w:r>
      <w:r w:rsidR="000103F7" w:rsidRPr="2BACE18D">
        <w:rPr>
          <w:color w:val="000000" w:themeColor="text1"/>
        </w:rPr>
        <w:t xml:space="preserve">he committee shall carry out the following duties to assist the </w:t>
      </w:r>
      <w:r w:rsidR="000103F7">
        <w:rPr>
          <w:color w:val="000000" w:themeColor="text1"/>
        </w:rPr>
        <w:t>B</w:t>
      </w:r>
      <w:r w:rsidR="000103F7" w:rsidRPr="2BACE18D">
        <w:rPr>
          <w:color w:val="000000" w:themeColor="text1"/>
        </w:rPr>
        <w:t>oard in fulfilling its reporting responsibilities in the annual report to:</w:t>
      </w:r>
    </w:p>
    <w:p w14:paraId="6C006B9F" w14:textId="77777777" w:rsidR="000103F7" w:rsidRPr="00DB6E86" w:rsidRDefault="000103F7" w:rsidP="000103F7">
      <w:pPr>
        <w:pStyle w:val="ListParagraph"/>
        <w:rPr>
          <w:color w:val="000000" w:themeColor="text1"/>
        </w:rPr>
      </w:pPr>
    </w:p>
    <w:p w14:paraId="672DB390" w14:textId="0ABC2C95" w:rsidR="000103F7" w:rsidRPr="00DB6E86" w:rsidRDefault="00E81FB1">
      <w:pPr>
        <w:pStyle w:val="ListParagraph"/>
        <w:numPr>
          <w:ilvl w:val="1"/>
          <w:numId w:val="41"/>
        </w:numPr>
        <w:spacing w:line="240" w:lineRule="auto"/>
        <w:ind w:left="1339"/>
        <w:rPr>
          <w:color w:val="000000" w:themeColor="text1"/>
        </w:rPr>
      </w:pPr>
      <w:r>
        <w:rPr>
          <w:color w:val="000000" w:themeColor="text1"/>
        </w:rPr>
        <w:t>m</w:t>
      </w:r>
      <w:r w:rsidR="000103F7" w:rsidRPr="00DB6E86">
        <w:rPr>
          <w:color w:val="000000" w:themeColor="text1"/>
        </w:rPr>
        <w:t>onitor the effectiveness of ICAEW’s risk management</w:t>
      </w:r>
      <w:r>
        <w:rPr>
          <w:color w:val="000000" w:themeColor="text1"/>
        </w:rPr>
        <w:t>;</w:t>
      </w:r>
    </w:p>
    <w:p w14:paraId="5F4E7E71" w14:textId="77777777" w:rsidR="000103F7" w:rsidRPr="00272C76" w:rsidRDefault="000103F7" w:rsidP="000103F7">
      <w:pPr>
        <w:pStyle w:val="ListParagraph"/>
        <w:ind w:left="1296"/>
        <w:rPr>
          <w:color w:val="000000" w:themeColor="text1"/>
        </w:rPr>
      </w:pPr>
    </w:p>
    <w:p w14:paraId="61559ACD" w14:textId="2031925F" w:rsidR="000103F7" w:rsidRPr="00272C76" w:rsidRDefault="00E81FB1">
      <w:pPr>
        <w:pStyle w:val="ListParagraph"/>
        <w:numPr>
          <w:ilvl w:val="1"/>
          <w:numId w:val="41"/>
        </w:numPr>
        <w:spacing w:line="240" w:lineRule="auto"/>
        <w:ind w:left="1296"/>
        <w:rPr>
          <w:color w:val="000000" w:themeColor="text1"/>
        </w:rPr>
      </w:pPr>
      <w:r>
        <w:rPr>
          <w:color w:val="000000" w:themeColor="text1"/>
        </w:rPr>
        <w:t>r</w:t>
      </w:r>
      <w:r w:rsidR="000103F7" w:rsidRPr="2BACE18D">
        <w:rPr>
          <w:color w:val="000000" w:themeColor="text1"/>
        </w:rPr>
        <w:t xml:space="preserve">eview ICAEW’s procedures to manage or mitigate principal risks and to identify   emerging risks, to assist in the </w:t>
      </w:r>
      <w:r w:rsidR="000103F7">
        <w:rPr>
          <w:color w:val="000000" w:themeColor="text1"/>
        </w:rPr>
        <w:t>B</w:t>
      </w:r>
      <w:r w:rsidR="000103F7" w:rsidRPr="2BACE18D">
        <w:rPr>
          <w:color w:val="000000" w:themeColor="text1"/>
        </w:rPr>
        <w:t>oard’s assessment of principal and emerging risks</w:t>
      </w:r>
      <w:r>
        <w:rPr>
          <w:color w:val="000000" w:themeColor="text1"/>
        </w:rPr>
        <w:t>;</w:t>
      </w:r>
    </w:p>
    <w:p w14:paraId="2C209DF0" w14:textId="77777777" w:rsidR="000103F7" w:rsidRPr="00272C76" w:rsidRDefault="000103F7" w:rsidP="000103F7">
      <w:pPr>
        <w:pStyle w:val="ListParagraph"/>
        <w:ind w:left="1296"/>
        <w:rPr>
          <w:color w:val="000000" w:themeColor="text1"/>
        </w:rPr>
      </w:pPr>
    </w:p>
    <w:p w14:paraId="7A57D680" w14:textId="4EC16C4B" w:rsidR="000103F7" w:rsidRPr="000D1179" w:rsidRDefault="00E81FB1">
      <w:pPr>
        <w:pStyle w:val="ListParagraph"/>
        <w:numPr>
          <w:ilvl w:val="1"/>
          <w:numId w:val="41"/>
        </w:numPr>
        <w:spacing w:line="240" w:lineRule="auto"/>
        <w:ind w:left="1296"/>
        <w:rPr>
          <w:color w:val="000000" w:themeColor="text1"/>
        </w:rPr>
      </w:pPr>
      <w:r>
        <w:rPr>
          <w:color w:val="000000" w:themeColor="text1"/>
        </w:rPr>
        <w:t>r</w:t>
      </w:r>
      <w:r w:rsidR="000103F7" w:rsidRPr="2BACE18D">
        <w:rPr>
          <w:color w:val="000000" w:themeColor="text1"/>
        </w:rPr>
        <w:t>eview and assess ICAEW’s risk appetite and associated stress testing</w:t>
      </w:r>
      <w:r>
        <w:rPr>
          <w:color w:val="000000" w:themeColor="text1"/>
        </w:rPr>
        <w:t>;</w:t>
      </w:r>
    </w:p>
    <w:p w14:paraId="16CCF64C" w14:textId="77777777" w:rsidR="000103F7" w:rsidRPr="00272C76" w:rsidRDefault="000103F7" w:rsidP="000103F7">
      <w:pPr>
        <w:pStyle w:val="ListParagraph"/>
        <w:ind w:left="1296"/>
        <w:rPr>
          <w:color w:val="000000" w:themeColor="text1"/>
        </w:rPr>
      </w:pPr>
    </w:p>
    <w:p w14:paraId="50117695" w14:textId="25BC3BAA" w:rsidR="000103F7" w:rsidRDefault="00E81FB1">
      <w:pPr>
        <w:pStyle w:val="ListParagraph"/>
        <w:numPr>
          <w:ilvl w:val="1"/>
          <w:numId w:val="41"/>
        </w:numPr>
        <w:spacing w:line="240" w:lineRule="auto"/>
        <w:ind w:left="1296"/>
        <w:rPr>
          <w:color w:val="000000" w:themeColor="text1"/>
        </w:rPr>
      </w:pPr>
      <w:r>
        <w:rPr>
          <w:color w:val="000000" w:themeColor="text1"/>
        </w:rPr>
        <w:t>e</w:t>
      </w:r>
      <w:r w:rsidR="000103F7" w:rsidRPr="000D1179">
        <w:rPr>
          <w:color w:val="000000" w:themeColor="text1"/>
        </w:rPr>
        <w:t>valuate ICAEW’s principal risks, to be discussed at Board</w:t>
      </w:r>
      <w:r>
        <w:rPr>
          <w:color w:val="000000" w:themeColor="text1"/>
        </w:rPr>
        <w:t>; and</w:t>
      </w:r>
    </w:p>
    <w:p w14:paraId="48FF1C14" w14:textId="77777777" w:rsidR="000103F7" w:rsidRPr="000D1179" w:rsidRDefault="000103F7" w:rsidP="000103F7">
      <w:pPr>
        <w:ind w:left="864"/>
        <w:rPr>
          <w:color w:val="000000" w:themeColor="text1"/>
        </w:rPr>
      </w:pPr>
    </w:p>
    <w:p w14:paraId="7DE4FEF5" w14:textId="6D484312" w:rsidR="000103F7" w:rsidRPr="00F23B33" w:rsidRDefault="00E81FB1">
      <w:pPr>
        <w:pStyle w:val="ListParagraph"/>
        <w:numPr>
          <w:ilvl w:val="1"/>
          <w:numId w:val="41"/>
        </w:numPr>
        <w:spacing w:line="240" w:lineRule="auto"/>
        <w:ind w:left="1296"/>
        <w:rPr>
          <w:color w:val="000000" w:themeColor="text1"/>
        </w:rPr>
      </w:pPr>
      <w:r>
        <w:rPr>
          <w:color w:val="000000" w:themeColor="text1"/>
        </w:rPr>
        <w:t>r</w:t>
      </w:r>
      <w:r w:rsidR="000103F7" w:rsidRPr="00F23B33">
        <w:rPr>
          <w:color w:val="000000" w:themeColor="text1"/>
        </w:rPr>
        <w:t>eview and approve the statements to be included in the annual report concerning internal controls and risk management.</w:t>
      </w:r>
    </w:p>
    <w:p w14:paraId="5515F916" w14:textId="77777777" w:rsidR="000103F7" w:rsidRPr="00272C76" w:rsidRDefault="000103F7" w:rsidP="000103F7">
      <w:pPr>
        <w:pStyle w:val="ListParagraph"/>
        <w:ind w:left="851"/>
        <w:rPr>
          <w:color w:val="000000" w:themeColor="text1"/>
        </w:rPr>
      </w:pPr>
    </w:p>
    <w:p w14:paraId="4701930A" w14:textId="77777777" w:rsidR="000103F7" w:rsidRDefault="000103F7">
      <w:pPr>
        <w:pStyle w:val="ListParagraph"/>
        <w:numPr>
          <w:ilvl w:val="0"/>
          <w:numId w:val="41"/>
        </w:numPr>
        <w:spacing w:line="240" w:lineRule="auto"/>
        <w:rPr>
          <w:bCs/>
          <w:color w:val="000000" w:themeColor="text1"/>
        </w:rPr>
      </w:pPr>
      <w:r w:rsidRPr="00272C76">
        <w:rPr>
          <w:bCs/>
          <w:color w:val="000000" w:themeColor="text1"/>
        </w:rPr>
        <w:t>The committee shall oversee and seek suitable assurance regarding the following internal controls and risk management systems:</w:t>
      </w:r>
    </w:p>
    <w:p w14:paraId="2272BC81" w14:textId="77777777" w:rsidR="000103F7" w:rsidRDefault="000103F7" w:rsidP="000103F7">
      <w:pPr>
        <w:pStyle w:val="ListParagraph"/>
        <w:ind w:left="502"/>
        <w:rPr>
          <w:bCs/>
          <w:color w:val="000000" w:themeColor="text1"/>
        </w:rPr>
      </w:pPr>
    </w:p>
    <w:p w14:paraId="26B65A7C" w14:textId="0BBC6795" w:rsidR="000103F7" w:rsidRPr="000573B3" w:rsidRDefault="000103F7">
      <w:pPr>
        <w:pStyle w:val="ListParagraph"/>
        <w:numPr>
          <w:ilvl w:val="1"/>
          <w:numId w:val="41"/>
        </w:numPr>
        <w:spacing w:line="240" w:lineRule="auto"/>
        <w:ind w:left="1361"/>
        <w:rPr>
          <w:bCs/>
          <w:color w:val="000000" w:themeColor="text1"/>
        </w:rPr>
      </w:pPr>
      <w:r w:rsidRPr="000573B3">
        <w:rPr>
          <w:bCs/>
          <w:color w:val="000000" w:themeColor="text1"/>
        </w:rPr>
        <w:t>ICAEW’s risk exposures including risk to the business model</w:t>
      </w:r>
      <w:r w:rsidR="00E81FB1">
        <w:rPr>
          <w:bCs/>
          <w:color w:val="000000" w:themeColor="text1"/>
        </w:rPr>
        <w:t>;</w:t>
      </w:r>
    </w:p>
    <w:p w14:paraId="3CBA14AC" w14:textId="77777777" w:rsidR="000103F7" w:rsidRDefault="000103F7" w:rsidP="000103F7">
      <w:pPr>
        <w:pStyle w:val="ListParagraph"/>
        <w:ind w:left="1361"/>
        <w:rPr>
          <w:bCs/>
          <w:color w:val="000000" w:themeColor="text1"/>
        </w:rPr>
      </w:pPr>
    </w:p>
    <w:p w14:paraId="49B7EB37" w14:textId="77F3421B" w:rsidR="000103F7" w:rsidRPr="000573B3"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he adequacy and effectiveness of ICAEW’s processes and procedures to manage risk and the internal control framework, including the design, implementation and effectiveness of those systems</w:t>
      </w:r>
      <w:r>
        <w:rPr>
          <w:bCs/>
          <w:color w:val="000000" w:themeColor="text1"/>
        </w:rPr>
        <w:t>;</w:t>
      </w:r>
    </w:p>
    <w:p w14:paraId="2FC789ED" w14:textId="77777777" w:rsidR="000103F7" w:rsidRDefault="000103F7" w:rsidP="000103F7">
      <w:pPr>
        <w:pStyle w:val="ListParagraph"/>
        <w:ind w:left="1361"/>
        <w:rPr>
          <w:bCs/>
          <w:color w:val="000000" w:themeColor="text1"/>
        </w:rPr>
      </w:pPr>
    </w:p>
    <w:p w14:paraId="150326FC" w14:textId="6A30C20F" w:rsidR="000103F7" w:rsidRPr="000573B3"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he ability of ICAEW’s risk management and internal control systems to identify the risks facing ICAEW and enable a robust assessment of principal risks</w:t>
      </w:r>
      <w:r>
        <w:rPr>
          <w:bCs/>
          <w:color w:val="000000" w:themeColor="text1"/>
        </w:rPr>
        <w:t>;</w:t>
      </w:r>
    </w:p>
    <w:p w14:paraId="34FB5BE0" w14:textId="77777777" w:rsidR="000103F7" w:rsidRDefault="000103F7" w:rsidP="000103F7">
      <w:pPr>
        <w:ind w:left="1361"/>
        <w:rPr>
          <w:bCs/>
          <w:color w:val="000000" w:themeColor="text1"/>
        </w:rPr>
      </w:pPr>
    </w:p>
    <w:p w14:paraId="2A6DE14D" w14:textId="54862662" w:rsidR="00E81FB1" w:rsidRDefault="000103F7">
      <w:pPr>
        <w:pStyle w:val="ListParagraph"/>
        <w:numPr>
          <w:ilvl w:val="1"/>
          <w:numId w:val="41"/>
        </w:numPr>
        <w:spacing w:line="240" w:lineRule="auto"/>
        <w:ind w:left="1361"/>
        <w:rPr>
          <w:bCs/>
          <w:color w:val="000000" w:themeColor="text1"/>
        </w:rPr>
      </w:pPr>
      <w:r w:rsidRPr="000573B3">
        <w:rPr>
          <w:bCs/>
          <w:color w:val="000000" w:themeColor="text1"/>
        </w:rPr>
        <w:t>ICAEW’s capability to identify and manage new and emerging risks</w:t>
      </w:r>
      <w:r w:rsidR="00E81FB1">
        <w:rPr>
          <w:bCs/>
          <w:color w:val="000000" w:themeColor="text1"/>
        </w:rPr>
        <w:t>;</w:t>
      </w:r>
    </w:p>
    <w:p w14:paraId="54690C48" w14:textId="77777777" w:rsidR="00E81FB1" w:rsidRPr="00E81FB1" w:rsidRDefault="00E81FB1">
      <w:pPr>
        <w:pStyle w:val="ListParagraph"/>
        <w:rPr>
          <w:bCs/>
          <w:color w:val="000000" w:themeColor="text1"/>
        </w:rPr>
      </w:pPr>
    </w:p>
    <w:p w14:paraId="2A008169" w14:textId="228E0F7C" w:rsidR="000103F7" w:rsidRPr="000573B3"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he effectiveness and relative costs and benefit of particular controls</w:t>
      </w:r>
      <w:r>
        <w:rPr>
          <w:bCs/>
          <w:color w:val="000000" w:themeColor="text1"/>
        </w:rPr>
        <w:t>;</w:t>
      </w:r>
    </w:p>
    <w:p w14:paraId="7071553C" w14:textId="77777777" w:rsidR="000103F7" w:rsidRPr="00272C76" w:rsidRDefault="000103F7" w:rsidP="000103F7">
      <w:pPr>
        <w:pStyle w:val="ListParagraph"/>
        <w:ind w:left="1361"/>
        <w:rPr>
          <w:bCs/>
          <w:color w:val="000000" w:themeColor="text1"/>
        </w:rPr>
      </w:pPr>
    </w:p>
    <w:p w14:paraId="46DFD290" w14:textId="6A959984" w:rsidR="000103F7" w:rsidRPr="000573B3"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he effectiveness of management’s processes for monitoring and reviewing the effectiveness of risk management and internal control systems and ensuring corrective action is taken when necessary</w:t>
      </w:r>
      <w:r>
        <w:rPr>
          <w:bCs/>
          <w:color w:val="000000" w:themeColor="text1"/>
        </w:rPr>
        <w:t>;</w:t>
      </w:r>
    </w:p>
    <w:p w14:paraId="139DAA38" w14:textId="77777777" w:rsidR="000103F7" w:rsidRDefault="000103F7" w:rsidP="000103F7">
      <w:pPr>
        <w:ind w:left="1361"/>
        <w:rPr>
          <w:bCs/>
          <w:color w:val="000000" w:themeColor="text1"/>
        </w:rPr>
      </w:pPr>
    </w:p>
    <w:p w14:paraId="2297D9E6" w14:textId="7914FD80" w:rsidR="000103F7" w:rsidRPr="000573B3" w:rsidRDefault="000103F7">
      <w:pPr>
        <w:pStyle w:val="ListParagraph"/>
        <w:numPr>
          <w:ilvl w:val="1"/>
          <w:numId w:val="41"/>
        </w:numPr>
        <w:spacing w:line="240" w:lineRule="auto"/>
        <w:ind w:left="1361"/>
        <w:rPr>
          <w:bCs/>
          <w:color w:val="000000" w:themeColor="text1"/>
        </w:rPr>
      </w:pPr>
      <w:r w:rsidRPr="000573B3">
        <w:rPr>
          <w:bCs/>
          <w:color w:val="000000" w:themeColor="text1"/>
        </w:rPr>
        <w:t>ICAEW’s ability to reduce the likelihood of principal risks materialising and the impact on ICAEW of risks that do materialise</w:t>
      </w:r>
      <w:r w:rsidR="00E81FB1">
        <w:rPr>
          <w:bCs/>
          <w:color w:val="000000" w:themeColor="text1"/>
        </w:rPr>
        <w:t>;</w:t>
      </w:r>
    </w:p>
    <w:p w14:paraId="368EFED5" w14:textId="77777777" w:rsidR="000103F7" w:rsidRPr="00272C76" w:rsidRDefault="000103F7" w:rsidP="000103F7">
      <w:pPr>
        <w:pStyle w:val="ListParagraph"/>
        <w:ind w:left="1361"/>
        <w:rPr>
          <w:bCs/>
          <w:color w:val="000000" w:themeColor="text1"/>
        </w:rPr>
      </w:pPr>
    </w:p>
    <w:p w14:paraId="26D306A6" w14:textId="11373F7C" w:rsidR="000103F7" w:rsidRPr="000573B3"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he appropriateness of ICAEW’s values and culture and reward systems for managing risk and internal controls, and the extent to which the culture and values are embedded at all levels of ICAEW</w:t>
      </w:r>
      <w:r>
        <w:rPr>
          <w:bCs/>
          <w:color w:val="000000" w:themeColor="text1"/>
        </w:rPr>
        <w:t>; and</w:t>
      </w:r>
    </w:p>
    <w:p w14:paraId="08B2DCE8" w14:textId="77777777" w:rsidR="000103F7" w:rsidRPr="00F13F93" w:rsidRDefault="000103F7">
      <w:pPr>
        <w:rPr>
          <w:bCs/>
          <w:color w:val="000000" w:themeColor="text1"/>
        </w:rPr>
      </w:pPr>
    </w:p>
    <w:p w14:paraId="50D17883" w14:textId="1E2688A6" w:rsidR="000103F7" w:rsidRDefault="00E81FB1">
      <w:pPr>
        <w:pStyle w:val="ListParagraph"/>
        <w:numPr>
          <w:ilvl w:val="1"/>
          <w:numId w:val="41"/>
        </w:numPr>
        <w:spacing w:line="240" w:lineRule="auto"/>
        <w:ind w:left="1361"/>
        <w:rPr>
          <w:bCs/>
          <w:color w:val="000000" w:themeColor="text1"/>
        </w:rPr>
      </w:pPr>
      <w:r>
        <w:rPr>
          <w:bCs/>
          <w:color w:val="000000" w:themeColor="text1"/>
        </w:rPr>
        <w:t>t</w:t>
      </w:r>
      <w:r w:rsidR="000103F7" w:rsidRPr="000573B3">
        <w:rPr>
          <w:bCs/>
          <w:color w:val="000000" w:themeColor="text1"/>
        </w:rPr>
        <w:t xml:space="preserve">he </w:t>
      </w:r>
      <w:r w:rsidR="000103F7">
        <w:rPr>
          <w:bCs/>
          <w:color w:val="000000" w:themeColor="text1"/>
        </w:rPr>
        <w:t>Chief Financial Officer’s</w:t>
      </w:r>
      <w:r w:rsidR="000103F7" w:rsidRPr="000573B3">
        <w:rPr>
          <w:bCs/>
          <w:color w:val="000000" w:themeColor="text1"/>
        </w:rPr>
        <w:t xml:space="preserve"> right of direct access to the Chair of ICAEW Board and to the committee.</w:t>
      </w:r>
    </w:p>
    <w:p w14:paraId="7AF2C881" w14:textId="77777777" w:rsidR="000103F7" w:rsidRDefault="000103F7">
      <w:pPr>
        <w:pStyle w:val="BodyText"/>
        <w:spacing w:after="120"/>
        <w:ind w:left="792"/>
        <w:rPr>
          <w:bCs/>
        </w:rPr>
      </w:pPr>
    </w:p>
    <w:p w14:paraId="2DCE5E8B" w14:textId="77777777" w:rsidR="002A18A8" w:rsidRPr="002A18A8" w:rsidRDefault="002A18A8" w:rsidP="002A18A8">
      <w:pPr>
        <w:pStyle w:val="BodyText"/>
        <w:ind w:left="792"/>
        <w:rPr>
          <w:bCs/>
        </w:rPr>
      </w:pPr>
    </w:p>
    <w:p w14:paraId="3A4A6AF0" w14:textId="2CEA64A2" w:rsidR="00350D17" w:rsidRDefault="00350D17" w:rsidP="00E8485A">
      <w:pPr>
        <w:pStyle w:val="Heading3"/>
      </w:pPr>
      <w:r>
        <w:t xml:space="preserve">Governance Matters </w:t>
      </w:r>
    </w:p>
    <w:p w14:paraId="008722FB" w14:textId="07E93F59" w:rsidR="00350D17" w:rsidRDefault="00350D17">
      <w:pPr>
        <w:pStyle w:val="BodyText"/>
        <w:numPr>
          <w:ilvl w:val="0"/>
          <w:numId w:val="41"/>
        </w:numPr>
        <w:spacing w:after="120"/>
      </w:pPr>
      <w:r>
        <w:t xml:space="preserve">The Committee’s </w:t>
      </w:r>
      <w:r w:rsidRPr="00350D17">
        <w:t xml:space="preserve">terms of reference and any subsequent changes are developed and reviewed </w:t>
      </w:r>
      <w:r w:rsidR="00525DBA">
        <w:t xml:space="preserve">once a year </w:t>
      </w:r>
      <w:r w:rsidRPr="00350D17">
        <w:t xml:space="preserve">by the Committee and then approved </w:t>
      </w:r>
      <w:r>
        <w:t xml:space="preserve">by </w:t>
      </w:r>
      <w:r w:rsidRPr="00350D17">
        <w:t>ICAEW Board.</w:t>
      </w:r>
    </w:p>
    <w:p w14:paraId="6816B5C0" w14:textId="5B7E02D0" w:rsidR="002A18A8" w:rsidRDefault="00350D17">
      <w:pPr>
        <w:pStyle w:val="BodyText"/>
        <w:numPr>
          <w:ilvl w:val="0"/>
          <w:numId w:val="41"/>
        </w:numPr>
        <w:spacing w:after="120"/>
      </w:pPr>
      <w:r>
        <w:t>The Committee regularly evaluates its own performance</w:t>
      </w:r>
      <w:r w:rsidR="00EB3D40">
        <w:t xml:space="preserve"> </w:t>
      </w:r>
      <w:r w:rsidRPr="00EB3D40">
        <w:t>and reports</w:t>
      </w:r>
      <w:r w:rsidR="00EB3D40" w:rsidRPr="00EB3D40">
        <w:t xml:space="preserve"> on this</w:t>
      </w:r>
      <w:r w:rsidRPr="00EB3D40">
        <w:t xml:space="preserve"> to ICAEW Board.</w:t>
      </w:r>
      <w:r>
        <w:t xml:space="preserve"> </w:t>
      </w:r>
    </w:p>
    <w:p w14:paraId="73843CE3" w14:textId="77777777" w:rsidR="002A18A8" w:rsidRPr="00350D17" w:rsidRDefault="002A18A8" w:rsidP="002A18A8">
      <w:pPr>
        <w:pStyle w:val="ListParagraph"/>
        <w:ind w:left="360"/>
      </w:pPr>
    </w:p>
    <w:p w14:paraId="165013FC" w14:textId="1E6C42C6" w:rsidR="00E8485A" w:rsidRDefault="00E8485A" w:rsidP="00E8485A">
      <w:pPr>
        <w:pStyle w:val="Heading3"/>
      </w:pPr>
      <w:r>
        <w:t>Operation of the Committee</w:t>
      </w:r>
    </w:p>
    <w:p w14:paraId="265204BD" w14:textId="75C89C0F" w:rsidR="00350D17" w:rsidRDefault="00350D17">
      <w:pPr>
        <w:pStyle w:val="BodyText"/>
        <w:numPr>
          <w:ilvl w:val="0"/>
          <w:numId w:val="41"/>
        </w:numPr>
        <w:spacing w:after="120"/>
      </w:pPr>
      <w:r>
        <w:t xml:space="preserve">The Chair of the Committee will report to ICAEW Board on how the Committee is discharging its duties. </w:t>
      </w:r>
    </w:p>
    <w:p w14:paraId="1097A673" w14:textId="3FF0DBED" w:rsidR="00350D17" w:rsidRDefault="00350D17">
      <w:pPr>
        <w:pStyle w:val="BodyText"/>
        <w:numPr>
          <w:ilvl w:val="0"/>
          <w:numId w:val="41"/>
        </w:numPr>
        <w:spacing w:after="120"/>
      </w:pPr>
      <w:r>
        <w:t>The Committee shall provide a report on its activities in ICAEW’s annual report.</w:t>
      </w:r>
    </w:p>
    <w:p w14:paraId="25D83021" w14:textId="1A1931CC" w:rsidR="00350D17" w:rsidRDefault="00350D17">
      <w:pPr>
        <w:pStyle w:val="BodyText"/>
        <w:numPr>
          <w:ilvl w:val="0"/>
          <w:numId w:val="41"/>
        </w:numPr>
        <w:spacing w:after="120"/>
      </w:pPr>
      <w:r>
        <w:t xml:space="preserve">Meetings </w:t>
      </w:r>
      <w:r w:rsidRPr="00350D17">
        <w:t>of the Committee will be chaired by the Chair. If the Chair is unable to attend any meeting of the Committee, it shall be chaired by a</w:t>
      </w:r>
      <w:r>
        <w:t>n eligible</w:t>
      </w:r>
      <w:r w:rsidRPr="00350D17">
        <w:t xml:space="preserve"> member of the Committee nominated by the Chair or if no one had been so nominated, by a</w:t>
      </w:r>
      <w:r w:rsidR="00FC0FEA">
        <w:t>n eligible</w:t>
      </w:r>
      <w:r w:rsidRPr="00350D17">
        <w:t xml:space="preserve"> member of the Committee chosen by the members present at the meeting.</w:t>
      </w:r>
    </w:p>
    <w:p w14:paraId="0B79D965" w14:textId="092FB7E2" w:rsidR="00FC0FEA" w:rsidRDefault="00FC0FEA">
      <w:pPr>
        <w:pStyle w:val="BodyText"/>
        <w:numPr>
          <w:ilvl w:val="0"/>
          <w:numId w:val="41"/>
        </w:numPr>
        <w:spacing w:after="120"/>
      </w:pPr>
      <w:r>
        <w:t xml:space="preserve">The Committee shall meet as often as required to fulfil its duties. As a minimum this will be </w:t>
      </w:r>
      <w:r w:rsidR="007719E4">
        <w:t>three</w:t>
      </w:r>
      <w:r>
        <w:t xml:space="preserve"> times a year.</w:t>
      </w:r>
    </w:p>
    <w:p w14:paraId="51E65FC6" w14:textId="7BC0D0DE" w:rsidR="001209C6" w:rsidRDefault="00FC0FEA">
      <w:pPr>
        <w:pStyle w:val="BodyText"/>
        <w:numPr>
          <w:ilvl w:val="0"/>
          <w:numId w:val="41"/>
        </w:numPr>
        <w:spacing w:after="120"/>
      </w:pPr>
      <w:r>
        <w:t xml:space="preserve">Members, staff and other </w:t>
      </w:r>
      <w:r w:rsidRPr="00FC0FEA">
        <w:t>stakeholders will be invited to attend meetings as business needs dictate.</w:t>
      </w:r>
      <w:r>
        <w:t xml:space="preserve"> </w:t>
      </w:r>
    </w:p>
    <w:p w14:paraId="153BEB92" w14:textId="1EDF0BCE" w:rsidR="00FC0FEA" w:rsidRDefault="00FC0FEA">
      <w:pPr>
        <w:pStyle w:val="BodyText"/>
        <w:numPr>
          <w:ilvl w:val="0"/>
          <w:numId w:val="41"/>
        </w:numPr>
        <w:spacing w:after="120"/>
      </w:pPr>
      <w:r>
        <w:t xml:space="preserve">The Chair </w:t>
      </w:r>
      <w:r w:rsidRPr="00FC0FEA">
        <w:t>of the Committee shall attend the Annual General Meeting and be prepared to respond to any questions on the Committee’s activities. If the Chair is unable to attend, another member of the Committee shall attend in their place.</w:t>
      </w:r>
    </w:p>
    <w:p w14:paraId="03E1ED74" w14:textId="78B86283" w:rsidR="00FC0FEA" w:rsidRDefault="00FC0FEA">
      <w:pPr>
        <w:pStyle w:val="BodyText"/>
        <w:numPr>
          <w:ilvl w:val="0"/>
          <w:numId w:val="41"/>
        </w:numPr>
        <w:spacing w:after="120"/>
      </w:pPr>
      <w:r>
        <w:t xml:space="preserve">The Committee </w:t>
      </w:r>
      <w:r w:rsidRPr="00FC0FEA">
        <w:t>shall have access to sufficient resources to carry out its duties, including access to the Governance Office for advice and assistance as required. The Governance Office shall provide committee secretariat support to the Committee.</w:t>
      </w:r>
    </w:p>
    <w:p w14:paraId="2C91579F" w14:textId="5C29A749" w:rsidR="00FC0FEA" w:rsidRDefault="00FC0FEA">
      <w:pPr>
        <w:pStyle w:val="BodyText"/>
        <w:numPr>
          <w:ilvl w:val="0"/>
          <w:numId w:val="41"/>
        </w:numPr>
        <w:spacing w:after="120"/>
      </w:pPr>
      <w:r>
        <w:t xml:space="preserve">The Committee will </w:t>
      </w:r>
      <w:r w:rsidRPr="00FC0FEA">
        <w:t xml:space="preserve">take account of </w:t>
      </w:r>
      <w:r w:rsidR="00F92EB8">
        <w:t xml:space="preserve">ICAEW strategy and values, regulatory requirements, the need to promote effective risk management and </w:t>
      </w:r>
      <w:r w:rsidRPr="00FC0FEA">
        <w:t>matters of inclusion and diversity with respect to its activities.</w:t>
      </w:r>
    </w:p>
    <w:p w14:paraId="4FBC7675" w14:textId="77777777" w:rsidR="00237779" w:rsidRDefault="00237779" w:rsidP="00237779">
      <w:pPr>
        <w:pStyle w:val="BodyText"/>
        <w:spacing w:after="120"/>
      </w:pPr>
    </w:p>
    <w:tbl>
      <w:tblPr>
        <w:tblStyle w:val="TableGrid"/>
        <w:tblW w:w="0" w:type="auto"/>
        <w:tblLook w:val="04A0" w:firstRow="1" w:lastRow="0" w:firstColumn="1" w:lastColumn="0" w:noHBand="0" w:noVBand="1"/>
      </w:tblPr>
      <w:tblGrid>
        <w:gridCol w:w="4815"/>
        <w:gridCol w:w="4816"/>
      </w:tblGrid>
      <w:tr w:rsidR="00237779" w14:paraId="3B02ECDC" w14:textId="77777777" w:rsidTr="00237779">
        <w:tc>
          <w:tcPr>
            <w:tcW w:w="4815" w:type="dxa"/>
          </w:tcPr>
          <w:p w14:paraId="68F103EC" w14:textId="2D8EEA21" w:rsidR="00237779" w:rsidRPr="003E50D8" w:rsidRDefault="00237779" w:rsidP="00237779">
            <w:pPr>
              <w:pStyle w:val="BodyText"/>
              <w:spacing w:after="120"/>
              <w:rPr>
                <w:b/>
                <w:bCs/>
              </w:rPr>
            </w:pPr>
            <w:r w:rsidRPr="003E50D8">
              <w:rPr>
                <w:b/>
                <w:bCs/>
              </w:rPr>
              <w:t>Date Approved</w:t>
            </w:r>
          </w:p>
        </w:tc>
        <w:tc>
          <w:tcPr>
            <w:tcW w:w="4816" w:type="dxa"/>
          </w:tcPr>
          <w:p w14:paraId="013074F1" w14:textId="2E730687" w:rsidR="00237779" w:rsidRDefault="003E50D8" w:rsidP="00237779">
            <w:pPr>
              <w:pStyle w:val="BodyText"/>
              <w:spacing w:after="120"/>
            </w:pPr>
            <w:r>
              <w:t>30 January 2025</w:t>
            </w:r>
          </w:p>
        </w:tc>
      </w:tr>
      <w:tr w:rsidR="00237779" w14:paraId="2FA822ED" w14:textId="77777777" w:rsidTr="00237779">
        <w:tc>
          <w:tcPr>
            <w:tcW w:w="4815" w:type="dxa"/>
          </w:tcPr>
          <w:p w14:paraId="7A458D4F" w14:textId="4A3F9727" w:rsidR="00237779" w:rsidRPr="003E50D8" w:rsidRDefault="00237779" w:rsidP="00237779">
            <w:pPr>
              <w:pStyle w:val="BodyText"/>
              <w:spacing w:after="120"/>
              <w:rPr>
                <w:b/>
                <w:bCs/>
              </w:rPr>
            </w:pPr>
            <w:r w:rsidRPr="003E50D8">
              <w:rPr>
                <w:b/>
                <w:bCs/>
              </w:rPr>
              <w:t>Amendments</w:t>
            </w:r>
          </w:p>
        </w:tc>
        <w:tc>
          <w:tcPr>
            <w:tcW w:w="4816" w:type="dxa"/>
          </w:tcPr>
          <w:p w14:paraId="594B0FC0" w14:textId="77777777" w:rsidR="00237779" w:rsidRDefault="00237779" w:rsidP="00237779">
            <w:pPr>
              <w:pStyle w:val="BodyText"/>
              <w:spacing w:after="120"/>
            </w:pPr>
          </w:p>
        </w:tc>
      </w:tr>
    </w:tbl>
    <w:p w14:paraId="3F59068E" w14:textId="77777777" w:rsidR="00237779" w:rsidRPr="00E8485A" w:rsidRDefault="00237779" w:rsidP="00237779">
      <w:pPr>
        <w:pStyle w:val="BodyText"/>
        <w:spacing w:after="120"/>
      </w:pPr>
    </w:p>
    <w:sectPr w:rsidR="00237779" w:rsidRPr="00E8485A"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1EAB" w14:textId="77777777" w:rsidR="007D54D3" w:rsidRDefault="007D54D3">
      <w:r>
        <w:separator/>
      </w:r>
    </w:p>
  </w:endnote>
  <w:endnote w:type="continuationSeparator" w:id="0">
    <w:p w14:paraId="67E9267D" w14:textId="77777777" w:rsidR="007D54D3" w:rsidRDefault="007D54D3">
      <w:r>
        <w:continuationSeparator/>
      </w:r>
    </w:p>
  </w:endnote>
  <w:endnote w:type="continuationNotice" w:id="1">
    <w:p w14:paraId="3790B700" w14:textId="77777777" w:rsidR="007D54D3" w:rsidRDefault="007D5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6F6" w14:textId="77777777" w:rsidR="007B48F1" w:rsidRDefault="007B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39B" w14:textId="77777777" w:rsidR="00D359CF" w:rsidRDefault="00D359CF" w:rsidP="00D359CF"/>
  <w:p w14:paraId="42B7373F"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EFE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442E9D49" w14:textId="77777777" w:rsidTr="00427D52">
      <w:tc>
        <w:tcPr>
          <w:tcW w:w="4815" w:type="dxa"/>
          <w:tcBorders>
            <w:top w:val="single" w:sz="4" w:space="0" w:color="E30613" w:themeColor="background2"/>
          </w:tcBorders>
          <w:shd w:val="clear" w:color="auto" w:fill="auto"/>
        </w:tcPr>
        <w:p w14:paraId="62E15A63" w14:textId="77777777" w:rsidR="00C53111" w:rsidRPr="00953929" w:rsidRDefault="00C53111" w:rsidP="00427D52">
          <w:pPr>
            <w:pStyle w:val="Footer"/>
            <w:rPr>
              <w:sz w:val="8"/>
            </w:rPr>
          </w:pPr>
        </w:p>
        <w:p w14:paraId="7A556519" w14:textId="77777777" w:rsidR="00C53111" w:rsidRPr="00953929" w:rsidRDefault="007B50F1" w:rsidP="00427D52">
          <w:pPr>
            <w:pStyle w:val="Footer"/>
            <w:rPr>
              <w:b/>
              <w:sz w:val="8"/>
            </w:rPr>
          </w:pPr>
          <w:r>
            <w:rPr>
              <w:noProof/>
            </w:rPr>
            <w:fldChar w:fldCharType="begin"/>
          </w:r>
          <w:r>
            <w:rPr>
              <w:noProof/>
            </w:rPr>
            <w:instrText xml:space="preserve"> FILENAME   \* MERGEFORMAT </w:instrText>
          </w:r>
          <w:r>
            <w:rPr>
              <w:noProof/>
            </w:rPr>
            <w:fldChar w:fldCharType="separate"/>
          </w:r>
          <w:r w:rsidR="00F70AFC">
            <w:rPr>
              <w:noProof/>
            </w:rPr>
            <w:t>TOR 02.07 Remuneration Committee 02Aug2017.docx</w:t>
          </w:r>
          <w:r>
            <w:rPr>
              <w:noProof/>
            </w:rPr>
            <w:fldChar w:fldCharType="end"/>
          </w:r>
        </w:p>
      </w:tc>
      <w:tc>
        <w:tcPr>
          <w:tcW w:w="4816" w:type="dxa"/>
          <w:tcBorders>
            <w:top w:val="single" w:sz="4" w:space="0" w:color="E30613" w:themeColor="background2"/>
          </w:tcBorders>
          <w:shd w:val="clear" w:color="auto" w:fill="auto"/>
        </w:tcPr>
        <w:p w14:paraId="391467D1" w14:textId="77777777" w:rsidR="00C53111" w:rsidRPr="00953929" w:rsidRDefault="00C53111" w:rsidP="00427D52">
          <w:pPr>
            <w:pStyle w:val="Footer"/>
            <w:jc w:val="right"/>
            <w:rPr>
              <w:sz w:val="8"/>
            </w:rPr>
          </w:pPr>
        </w:p>
        <w:p w14:paraId="5EDFA0F4" w14:textId="77777777" w:rsidR="00C53111" w:rsidRPr="005E6231" w:rsidRDefault="00C53111" w:rsidP="00427D52">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70AFC">
            <w:fldChar w:fldCharType="begin"/>
          </w:r>
          <w:r w:rsidR="00F70AFC">
            <w:instrText xml:space="preserve"> numpages </w:instrText>
          </w:r>
          <w:r w:rsidR="00F70AFC">
            <w:fldChar w:fldCharType="separate"/>
          </w:r>
          <w:r w:rsidR="00F70AFC">
            <w:rPr>
              <w:noProof/>
            </w:rPr>
            <w:t>1</w:t>
          </w:r>
          <w:r w:rsidR="00F70AFC">
            <w:rPr>
              <w:noProof/>
            </w:rPr>
            <w:fldChar w:fldCharType="end"/>
          </w:r>
        </w:p>
      </w:tc>
    </w:tr>
  </w:tbl>
  <w:p w14:paraId="4B54E1E5"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5BF9" w14:textId="77777777" w:rsidR="007D54D3" w:rsidRDefault="007D54D3">
      <w:r>
        <w:separator/>
      </w:r>
    </w:p>
  </w:footnote>
  <w:footnote w:type="continuationSeparator" w:id="0">
    <w:p w14:paraId="59623E41" w14:textId="77777777" w:rsidR="007D54D3" w:rsidRDefault="007D54D3">
      <w:r>
        <w:continuationSeparator/>
      </w:r>
    </w:p>
  </w:footnote>
  <w:footnote w:type="continuationNotice" w:id="1">
    <w:p w14:paraId="44A2DCF1" w14:textId="77777777" w:rsidR="007D54D3" w:rsidRDefault="007D54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6A5" w14:textId="77777777" w:rsidR="007B48F1" w:rsidRDefault="007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58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821E507" wp14:editId="575C0A32">
          <wp:simplePos x="0" y="0"/>
          <wp:positionH relativeFrom="column">
            <wp:posOffset>5638165</wp:posOffset>
          </wp:positionH>
          <wp:positionV relativeFrom="paragraph">
            <wp:posOffset>191135</wp:posOffset>
          </wp:positionV>
          <wp:extent cx="786240" cy="12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C0" w14:textId="77777777" w:rsidR="007B48F1" w:rsidRDefault="007B48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E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8CA5BCD"/>
    <w:multiLevelType w:val="hybridMultilevel"/>
    <w:tmpl w:val="41B40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09D14CBC"/>
    <w:multiLevelType w:val="multilevel"/>
    <w:tmpl w:val="701A384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8DE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437F22"/>
    <w:multiLevelType w:val="hybridMultilevel"/>
    <w:tmpl w:val="8D7EACF0"/>
    <w:lvl w:ilvl="0" w:tplc="6E563248">
      <w:start w:val="1"/>
      <w:numFmt w:val="decimal"/>
      <w:lvlText w:val="%1."/>
      <w:lvlJc w:val="left"/>
      <w:pPr>
        <w:ind w:left="1080" w:hanging="720"/>
      </w:pPr>
      <w:rPr>
        <w:rFonts w:hint="default"/>
      </w:rPr>
    </w:lvl>
    <w:lvl w:ilvl="1" w:tplc="F5F415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26386F8E"/>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15:restartNumberingAfterBreak="0">
    <w:nsid w:val="44DB3831"/>
    <w:multiLevelType w:val="hybridMultilevel"/>
    <w:tmpl w:val="EF9E1F2A"/>
    <w:lvl w:ilvl="0" w:tplc="E59296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12B04"/>
    <w:multiLevelType w:val="multilevel"/>
    <w:tmpl w:val="DAFEE8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6" w15:restartNumberingAfterBreak="0">
    <w:nsid w:val="66D414EE"/>
    <w:multiLevelType w:val="multilevel"/>
    <w:tmpl w:val="2BE094B4"/>
    <w:numStyleLink w:val="Bulletpoints"/>
  </w:abstractNum>
  <w:abstractNum w:abstractNumId="27" w15:restartNumberingAfterBreak="0">
    <w:nsid w:val="70105F93"/>
    <w:multiLevelType w:val="multilevel"/>
    <w:tmpl w:val="898089B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252A8E"/>
    <w:multiLevelType w:val="hybridMultilevel"/>
    <w:tmpl w:val="39783A64"/>
    <w:lvl w:ilvl="0" w:tplc="7054E100">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30"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999852">
    <w:abstractNumId w:val="20"/>
  </w:num>
  <w:num w:numId="2" w16cid:durableId="78061915">
    <w:abstractNumId w:val="12"/>
  </w:num>
  <w:num w:numId="3" w16cid:durableId="1598446244">
    <w:abstractNumId w:val="30"/>
  </w:num>
  <w:num w:numId="4" w16cid:durableId="1388577032">
    <w:abstractNumId w:val="25"/>
  </w:num>
  <w:num w:numId="5" w16cid:durableId="1479112842">
    <w:abstractNumId w:val="18"/>
  </w:num>
  <w:num w:numId="6" w16cid:durableId="9600480">
    <w:abstractNumId w:val="22"/>
  </w:num>
  <w:num w:numId="7" w16cid:durableId="747117881">
    <w:abstractNumId w:val="13"/>
  </w:num>
  <w:num w:numId="8" w16cid:durableId="691302043">
    <w:abstractNumId w:val="8"/>
  </w:num>
  <w:num w:numId="9" w16cid:durableId="918519365">
    <w:abstractNumId w:val="29"/>
  </w:num>
  <w:num w:numId="10" w16cid:durableId="2043896531">
    <w:abstractNumId w:val="17"/>
  </w:num>
  <w:num w:numId="11" w16cid:durableId="1402436996">
    <w:abstractNumId w:val="26"/>
  </w:num>
  <w:num w:numId="12" w16cid:durableId="517888192">
    <w:abstractNumId w:val="3"/>
  </w:num>
  <w:num w:numId="13" w16cid:durableId="1040056596">
    <w:abstractNumId w:val="2"/>
  </w:num>
  <w:num w:numId="14" w16cid:durableId="510417314">
    <w:abstractNumId w:val="9"/>
  </w:num>
  <w:num w:numId="15" w16cid:durableId="1591230368">
    <w:abstractNumId w:val="7"/>
  </w:num>
  <w:num w:numId="16" w16cid:durableId="585849416">
    <w:abstractNumId w:val="9"/>
  </w:num>
  <w:num w:numId="17" w16cid:durableId="1336302484">
    <w:abstractNumId w:val="7"/>
  </w:num>
  <w:num w:numId="18" w16cid:durableId="1491675708">
    <w:abstractNumId w:val="29"/>
  </w:num>
  <w:num w:numId="19" w16cid:durableId="1557887124">
    <w:abstractNumId w:val="3"/>
  </w:num>
  <w:num w:numId="20" w16cid:durableId="2009215161">
    <w:abstractNumId w:val="2"/>
  </w:num>
  <w:num w:numId="21" w16cid:durableId="150679115">
    <w:abstractNumId w:val="14"/>
  </w:num>
  <w:num w:numId="22" w16cid:durableId="1586449880">
    <w:abstractNumId w:val="6"/>
  </w:num>
  <w:num w:numId="23" w16cid:durableId="785781229">
    <w:abstractNumId w:val="5"/>
  </w:num>
  <w:num w:numId="24" w16cid:durableId="204222121">
    <w:abstractNumId w:val="4"/>
  </w:num>
  <w:num w:numId="25" w16cid:durableId="1291403547">
    <w:abstractNumId w:val="1"/>
  </w:num>
  <w:num w:numId="26" w16cid:durableId="310642917">
    <w:abstractNumId w:val="0"/>
  </w:num>
  <w:num w:numId="27" w16cid:durableId="1694333000">
    <w:abstractNumId w:val="21"/>
  </w:num>
  <w:num w:numId="28" w16cid:durableId="1439910254">
    <w:abstractNumId w:val="21"/>
  </w:num>
  <w:num w:numId="29" w16cid:durableId="107701186">
    <w:abstractNumId w:val="6"/>
  </w:num>
  <w:num w:numId="30" w16cid:durableId="1061947781">
    <w:abstractNumId w:val="29"/>
  </w:num>
  <w:num w:numId="31" w16cid:durableId="137387276">
    <w:abstractNumId w:val="29"/>
  </w:num>
  <w:num w:numId="32" w16cid:durableId="867836211">
    <w:abstractNumId w:val="29"/>
  </w:num>
  <w:num w:numId="33" w16cid:durableId="582494790">
    <w:abstractNumId w:val="21"/>
  </w:num>
  <w:num w:numId="34" w16cid:durableId="850487698">
    <w:abstractNumId w:val="17"/>
  </w:num>
  <w:num w:numId="35" w16cid:durableId="1627348153">
    <w:abstractNumId w:val="14"/>
  </w:num>
  <w:num w:numId="36" w16cid:durableId="1622569476">
    <w:abstractNumId w:val="14"/>
  </w:num>
  <w:num w:numId="37" w16cid:durableId="2079014437">
    <w:abstractNumId w:val="14"/>
  </w:num>
  <w:num w:numId="38" w16cid:durableId="1318417831">
    <w:abstractNumId w:val="29"/>
  </w:num>
  <w:num w:numId="39" w16cid:durableId="1878004904">
    <w:abstractNumId w:val="29"/>
  </w:num>
  <w:num w:numId="40" w16cid:durableId="1272323731">
    <w:abstractNumId w:val="29"/>
  </w:num>
  <w:num w:numId="41" w16cid:durableId="827357550">
    <w:abstractNumId w:val="15"/>
  </w:num>
  <w:num w:numId="42" w16cid:durableId="320354733">
    <w:abstractNumId w:val="16"/>
  </w:num>
  <w:num w:numId="43" w16cid:durableId="2091736795">
    <w:abstractNumId w:val="28"/>
  </w:num>
  <w:num w:numId="44" w16cid:durableId="53427838">
    <w:abstractNumId w:val="24"/>
  </w:num>
  <w:num w:numId="45" w16cid:durableId="1528055433">
    <w:abstractNumId w:val="19"/>
  </w:num>
  <w:num w:numId="46" w16cid:durableId="2063282971">
    <w:abstractNumId w:val="23"/>
  </w:num>
  <w:num w:numId="47" w16cid:durableId="1913851651">
    <w:abstractNumId w:val="11"/>
  </w:num>
  <w:num w:numId="48" w16cid:durableId="2010595555">
    <w:abstractNumId w:val="10"/>
  </w:num>
  <w:num w:numId="49" w16cid:durableId="1862556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5A"/>
    <w:rsid w:val="000103F7"/>
    <w:rsid w:val="00011714"/>
    <w:rsid w:val="0002207F"/>
    <w:rsid w:val="00022914"/>
    <w:rsid w:val="00022A49"/>
    <w:rsid w:val="000252BD"/>
    <w:rsid w:val="00036B83"/>
    <w:rsid w:val="0004441E"/>
    <w:rsid w:val="00044F2A"/>
    <w:rsid w:val="000451D9"/>
    <w:rsid w:val="00046265"/>
    <w:rsid w:val="00046840"/>
    <w:rsid w:val="00047ED5"/>
    <w:rsid w:val="00050425"/>
    <w:rsid w:val="00055FB2"/>
    <w:rsid w:val="00060785"/>
    <w:rsid w:val="000665A5"/>
    <w:rsid w:val="0007427A"/>
    <w:rsid w:val="000773ED"/>
    <w:rsid w:val="000914DB"/>
    <w:rsid w:val="00096107"/>
    <w:rsid w:val="00096E01"/>
    <w:rsid w:val="00096FC2"/>
    <w:rsid w:val="000A6655"/>
    <w:rsid w:val="000A724C"/>
    <w:rsid w:val="000B7A15"/>
    <w:rsid w:val="000C5154"/>
    <w:rsid w:val="000D353A"/>
    <w:rsid w:val="000E21C5"/>
    <w:rsid w:val="000E738D"/>
    <w:rsid w:val="00100726"/>
    <w:rsid w:val="00105A88"/>
    <w:rsid w:val="001209C6"/>
    <w:rsid w:val="00121C59"/>
    <w:rsid w:val="001222B0"/>
    <w:rsid w:val="00122D1C"/>
    <w:rsid w:val="00125AF8"/>
    <w:rsid w:val="00126BFD"/>
    <w:rsid w:val="00131D9D"/>
    <w:rsid w:val="001330E8"/>
    <w:rsid w:val="00135EF5"/>
    <w:rsid w:val="00142C7B"/>
    <w:rsid w:val="0014394F"/>
    <w:rsid w:val="00147132"/>
    <w:rsid w:val="001503C3"/>
    <w:rsid w:val="00170447"/>
    <w:rsid w:val="001736AC"/>
    <w:rsid w:val="001859E0"/>
    <w:rsid w:val="001873F0"/>
    <w:rsid w:val="00191962"/>
    <w:rsid w:val="00196302"/>
    <w:rsid w:val="001A3DD0"/>
    <w:rsid w:val="001A497B"/>
    <w:rsid w:val="001A6D7B"/>
    <w:rsid w:val="001B1995"/>
    <w:rsid w:val="001B381C"/>
    <w:rsid w:val="001D16DD"/>
    <w:rsid w:val="001D4A17"/>
    <w:rsid w:val="001F0156"/>
    <w:rsid w:val="002043BD"/>
    <w:rsid w:val="00231332"/>
    <w:rsid w:val="0023202B"/>
    <w:rsid w:val="00237779"/>
    <w:rsid w:val="00243055"/>
    <w:rsid w:val="00262519"/>
    <w:rsid w:val="00266693"/>
    <w:rsid w:val="002673B6"/>
    <w:rsid w:val="00270CC3"/>
    <w:rsid w:val="002742BB"/>
    <w:rsid w:val="00274DF6"/>
    <w:rsid w:val="002A18A8"/>
    <w:rsid w:val="002A4203"/>
    <w:rsid w:val="002B3ACC"/>
    <w:rsid w:val="002B5078"/>
    <w:rsid w:val="002B72FC"/>
    <w:rsid w:val="002B7ECF"/>
    <w:rsid w:val="002C6D24"/>
    <w:rsid w:val="002D77F5"/>
    <w:rsid w:val="002E1E17"/>
    <w:rsid w:val="002E7C53"/>
    <w:rsid w:val="002F54B6"/>
    <w:rsid w:val="00301A7F"/>
    <w:rsid w:val="00322535"/>
    <w:rsid w:val="00340C92"/>
    <w:rsid w:val="00345EDA"/>
    <w:rsid w:val="00350D17"/>
    <w:rsid w:val="00351EE2"/>
    <w:rsid w:val="00371A42"/>
    <w:rsid w:val="003756B5"/>
    <w:rsid w:val="00375790"/>
    <w:rsid w:val="00380268"/>
    <w:rsid w:val="00385631"/>
    <w:rsid w:val="00391BD8"/>
    <w:rsid w:val="0039400A"/>
    <w:rsid w:val="003B183E"/>
    <w:rsid w:val="003C0D98"/>
    <w:rsid w:val="003C4D3E"/>
    <w:rsid w:val="003D27B7"/>
    <w:rsid w:val="003E1EED"/>
    <w:rsid w:val="003E2BE0"/>
    <w:rsid w:val="003E3C81"/>
    <w:rsid w:val="003E50D8"/>
    <w:rsid w:val="003F733A"/>
    <w:rsid w:val="004077FD"/>
    <w:rsid w:val="00407C71"/>
    <w:rsid w:val="004148B9"/>
    <w:rsid w:val="0042424F"/>
    <w:rsid w:val="00427D52"/>
    <w:rsid w:val="00430E4E"/>
    <w:rsid w:val="00443D8F"/>
    <w:rsid w:val="00455DE7"/>
    <w:rsid w:val="0046302A"/>
    <w:rsid w:val="004633EB"/>
    <w:rsid w:val="00482F18"/>
    <w:rsid w:val="00490A4C"/>
    <w:rsid w:val="004A452F"/>
    <w:rsid w:val="004A5AA0"/>
    <w:rsid w:val="004B3764"/>
    <w:rsid w:val="004B531E"/>
    <w:rsid w:val="004C59F1"/>
    <w:rsid w:val="004D30D6"/>
    <w:rsid w:val="004E676A"/>
    <w:rsid w:val="004F2309"/>
    <w:rsid w:val="004F41DD"/>
    <w:rsid w:val="004F799E"/>
    <w:rsid w:val="00501458"/>
    <w:rsid w:val="005105E7"/>
    <w:rsid w:val="0052510B"/>
    <w:rsid w:val="00525DBA"/>
    <w:rsid w:val="005279C7"/>
    <w:rsid w:val="005421E2"/>
    <w:rsid w:val="00543199"/>
    <w:rsid w:val="005459E1"/>
    <w:rsid w:val="0054793D"/>
    <w:rsid w:val="005617A0"/>
    <w:rsid w:val="005630D6"/>
    <w:rsid w:val="0057083A"/>
    <w:rsid w:val="005806CD"/>
    <w:rsid w:val="005A7E6A"/>
    <w:rsid w:val="005B3611"/>
    <w:rsid w:val="005B673C"/>
    <w:rsid w:val="005C0AF5"/>
    <w:rsid w:val="005C6653"/>
    <w:rsid w:val="005D2263"/>
    <w:rsid w:val="005E2C23"/>
    <w:rsid w:val="005E76A8"/>
    <w:rsid w:val="005F4D94"/>
    <w:rsid w:val="00602D54"/>
    <w:rsid w:val="00603223"/>
    <w:rsid w:val="006114E2"/>
    <w:rsid w:val="00634B12"/>
    <w:rsid w:val="00635029"/>
    <w:rsid w:val="00644A9E"/>
    <w:rsid w:val="006547A7"/>
    <w:rsid w:val="006669C4"/>
    <w:rsid w:val="0067376F"/>
    <w:rsid w:val="00674AA8"/>
    <w:rsid w:val="00692D4B"/>
    <w:rsid w:val="00696621"/>
    <w:rsid w:val="006A6639"/>
    <w:rsid w:val="006B11D0"/>
    <w:rsid w:val="006B50B0"/>
    <w:rsid w:val="006C36DB"/>
    <w:rsid w:val="006D3ED7"/>
    <w:rsid w:val="006E23B1"/>
    <w:rsid w:val="006E3BC3"/>
    <w:rsid w:val="006F1F36"/>
    <w:rsid w:val="006F5165"/>
    <w:rsid w:val="006F585D"/>
    <w:rsid w:val="006F645C"/>
    <w:rsid w:val="006F6EF8"/>
    <w:rsid w:val="00706FD2"/>
    <w:rsid w:val="0071085C"/>
    <w:rsid w:val="00711119"/>
    <w:rsid w:val="007252B9"/>
    <w:rsid w:val="00726F35"/>
    <w:rsid w:val="007719E4"/>
    <w:rsid w:val="00772BFB"/>
    <w:rsid w:val="007758E5"/>
    <w:rsid w:val="007869A1"/>
    <w:rsid w:val="00791DC4"/>
    <w:rsid w:val="00797094"/>
    <w:rsid w:val="007A675B"/>
    <w:rsid w:val="007B37DD"/>
    <w:rsid w:val="007B48F1"/>
    <w:rsid w:val="007B50F1"/>
    <w:rsid w:val="007C2309"/>
    <w:rsid w:val="007C7DA6"/>
    <w:rsid w:val="007C7F52"/>
    <w:rsid w:val="007D02FF"/>
    <w:rsid w:val="007D54D3"/>
    <w:rsid w:val="007D5BEC"/>
    <w:rsid w:val="007E0846"/>
    <w:rsid w:val="00812575"/>
    <w:rsid w:val="00814B30"/>
    <w:rsid w:val="00835B22"/>
    <w:rsid w:val="0084663B"/>
    <w:rsid w:val="0086003C"/>
    <w:rsid w:val="0086056D"/>
    <w:rsid w:val="00862066"/>
    <w:rsid w:val="00877929"/>
    <w:rsid w:val="00880DF2"/>
    <w:rsid w:val="00885F9A"/>
    <w:rsid w:val="00894D88"/>
    <w:rsid w:val="008B1D9E"/>
    <w:rsid w:val="008B53F2"/>
    <w:rsid w:val="008D189F"/>
    <w:rsid w:val="008D21EA"/>
    <w:rsid w:val="008D252D"/>
    <w:rsid w:val="008D6BDF"/>
    <w:rsid w:val="008D7527"/>
    <w:rsid w:val="008E0C43"/>
    <w:rsid w:val="008E72F4"/>
    <w:rsid w:val="00901D81"/>
    <w:rsid w:val="00912C7F"/>
    <w:rsid w:val="00937C61"/>
    <w:rsid w:val="009454AA"/>
    <w:rsid w:val="00946C98"/>
    <w:rsid w:val="00946FF5"/>
    <w:rsid w:val="00951728"/>
    <w:rsid w:val="009533A0"/>
    <w:rsid w:val="0096735F"/>
    <w:rsid w:val="00967411"/>
    <w:rsid w:val="00971307"/>
    <w:rsid w:val="009759B7"/>
    <w:rsid w:val="00977180"/>
    <w:rsid w:val="0098049C"/>
    <w:rsid w:val="009865F8"/>
    <w:rsid w:val="00994736"/>
    <w:rsid w:val="009969D1"/>
    <w:rsid w:val="009A00B3"/>
    <w:rsid w:val="009A0E96"/>
    <w:rsid w:val="009B436C"/>
    <w:rsid w:val="009C40A5"/>
    <w:rsid w:val="009D0157"/>
    <w:rsid w:val="009D0454"/>
    <w:rsid w:val="009D4FC8"/>
    <w:rsid w:val="009E3E39"/>
    <w:rsid w:val="009E5FAA"/>
    <w:rsid w:val="009F1613"/>
    <w:rsid w:val="009F621E"/>
    <w:rsid w:val="009F7766"/>
    <w:rsid w:val="00A0012D"/>
    <w:rsid w:val="00A1185D"/>
    <w:rsid w:val="00A123A7"/>
    <w:rsid w:val="00A13645"/>
    <w:rsid w:val="00A428AC"/>
    <w:rsid w:val="00A574DD"/>
    <w:rsid w:val="00A57C9F"/>
    <w:rsid w:val="00A62429"/>
    <w:rsid w:val="00A744EE"/>
    <w:rsid w:val="00A7500C"/>
    <w:rsid w:val="00A814AF"/>
    <w:rsid w:val="00A828F0"/>
    <w:rsid w:val="00A852DF"/>
    <w:rsid w:val="00A85EC1"/>
    <w:rsid w:val="00A95004"/>
    <w:rsid w:val="00A95355"/>
    <w:rsid w:val="00A96947"/>
    <w:rsid w:val="00A979F5"/>
    <w:rsid w:val="00AB4D8B"/>
    <w:rsid w:val="00AF0CE4"/>
    <w:rsid w:val="00AF4A0D"/>
    <w:rsid w:val="00AF6684"/>
    <w:rsid w:val="00B03BD7"/>
    <w:rsid w:val="00B11F7F"/>
    <w:rsid w:val="00B1488D"/>
    <w:rsid w:val="00B22F3D"/>
    <w:rsid w:val="00B2678F"/>
    <w:rsid w:val="00B30F98"/>
    <w:rsid w:val="00B446CF"/>
    <w:rsid w:val="00B53EF6"/>
    <w:rsid w:val="00B60C4C"/>
    <w:rsid w:val="00B6410D"/>
    <w:rsid w:val="00B64E7A"/>
    <w:rsid w:val="00B679BD"/>
    <w:rsid w:val="00B80B19"/>
    <w:rsid w:val="00B84DB6"/>
    <w:rsid w:val="00B920DE"/>
    <w:rsid w:val="00BC303F"/>
    <w:rsid w:val="00BC3EAD"/>
    <w:rsid w:val="00BD1FA3"/>
    <w:rsid w:val="00BE639E"/>
    <w:rsid w:val="00BE6A6B"/>
    <w:rsid w:val="00BF77C3"/>
    <w:rsid w:val="00C01E3F"/>
    <w:rsid w:val="00C01E89"/>
    <w:rsid w:val="00C04351"/>
    <w:rsid w:val="00C11997"/>
    <w:rsid w:val="00C15C08"/>
    <w:rsid w:val="00C225B9"/>
    <w:rsid w:val="00C24234"/>
    <w:rsid w:val="00C2430D"/>
    <w:rsid w:val="00C3099F"/>
    <w:rsid w:val="00C433F5"/>
    <w:rsid w:val="00C44E9A"/>
    <w:rsid w:val="00C53111"/>
    <w:rsid w:val="00C55667"/>
    <w:rsid w:val="00C62103"/>
    <w:rsid w:val="00C64680"/>
    <w:rsid w:val="00C7048D"/>
    <w:rsid w:val="00C72BB0"/>
    <w:rsid w:val="00C75869"/>
    <w:rsid w:val="00C837C3"/>
    <w:rsid w:val="00C844B1"/>
    <w:rsid w:val="00C876D4"/>
    <w:rsid w:val="00C87B37"/>
    <w:rsid w:val="00C87E8D"/>
    <w:rsid w:val="00C90AC1"/>
    <w:rsid w:val="00C93B9C"/>
    <w:rsid w:val="00C94D19"/>
    <w:rsid w:val="00CD5131"/>
    <w:rsid w:val="00CF2EF9"/>
    <w:rsid w:val="00D0057B"/>
    <w:rsid w:val="00D016C7"/>
    <w:rsid w:val="00D07BC7"/>
    <w:rsid w:val="00D10BD3"/>
    <w:rsid w:val="00D2425D"/>
    <w:rsid w:val="00D353D0"/>
    <w:rsid w:val="00D359CF"/>
    <w:rsid w:val="00D45535"/>
    <w:rsid w:val="00D53A76"/>
    <w:rsid w:val="00D53BE4"/>
    <w:rsid w:val="00D57961"/>
    <w:rsid w:val="00D62ED9"/>
    <w:rsid w:val="00D72B16"/>
    <w:rsid w:val="00D90AEE"/>
    <w:rsid w:val="00D94457"/>
    <w:rsid w:val="00DC33F8"/>
    <w:rsid w:val="00DD5301"/>
    <w:rsid w:val="00DD5954"/>
    <w:rsid w:val="00DE0894"/>
    <w:rsid w:val="00DE7195"/>
    <w:rsid w:val="00E01AA0"/>
    <w:rsid w:val="00E25048"/>
    <w:rsid w:val="00E41D4D"/>
    <w:rsid w:val="00E447FC"/>
    <w:rsid w:val="00E60A96"/>
    <w:rsid w:val="00E616EC"/>
    <w:rsid w:val="00E81FB1"/>
    <w:rsid w:val="00E8485A"/>
    <w:rsid w:val="00E853C8"/>
    <w:rsid w:val="00E86EAE"/>
    <w:rsid w:val="00E951EB"/>
    <w:rsid w:val="00EA6075"/>
    <w:rsid w:val="00EA78CC"/>
    <w:rsid w:val="00EB3D40"/>
    <w:rsid w:val="00EC4B79"/>
    <w:rsid w:val="00ED3D13"/>
    <w:rsid w:val="00EE2126"/>
    <w:rsid w:val="00EE6B2C"/>
    <w:rsid w:val="00EF421E"/>
    <w:rsid w:val="00EF7C74"/>
    <w:rsid w:val="00F019A3"/>
    <w:rsid w:val="00F06AA6"/>
    <w:rsid w:val="00F1102D"/>
    <w:rsid w:val="00F13F93"/>
    <w:rsid w:val="00F238CD"/>
    <w:rsid w:val="00F30E8F"/>
    <w:rsid w:val="00F4732A"/>
    <w:rsid w:val="00F51095"/>
    <w:rsid w:val="00F53892"/>
    <w:rsid w:val="00F617E2"/>
    <w:rsid w:val="00F61CF8"/>
    <w:rsid w:val="00F70AFC"/>
    <w:rsid w:val="00F82BF1"/>
    <w:rsid w:val="00F87665"/>
    <w:rsid w:val="00F92EB8"/>
    <w:rsid w:val="00FA5F67"/>
    <w:rsid w:val="00FC0FEA"/>
    <w:rsid w:val="00FC4DA0"/>
    <w:rsid w:val="00FC53EC"/>
    <w:rsid w:val="00FD10C3"/>
    <w:rsid w:val="00FD12E2"/>
    <w:rsid w:val="00FD13E0"/>
    <w:rsid w:val="00FD1A9B"/>
    <w:rsid w:val="00FD6815"/>
    <w:rsid w:val="00FE20B3"/>
    <w:rsid w:val="00FF244C"/>
    <w:rsid w:val="00FF561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4246"/>
  <w15:docId w15:val="{67853915-EEF8-4797-98FF-AFDF61E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styleId="CommentReference">
    <w:name w:val="annotation reference"/>
    <w:basedOn w:val="DefaultParagraphFont"/>
    <w:semiHidden/>
    <w:unhideWhenUsed/>
    <w:rsid w:val="00603223"/>
    <w:rPr>
      <w:sz w:val="16"/>
      <w:szCs w:val="16"/>
    </w:rPr>
  </w:style>
  <w:style w:type="paragraph" w:styleId="CommentText">
    <w:name w:val="annotation text"/>
    <w:basedOn w:val="Normal"/>
    <w:link w:val="CommentTextChar"/>
    <w:unhideWhenUsed/>
    <w:rsid w:val="00603223"/>
    <w:pPr>
      <w:spacing w:line="240" w:lineRule="auto"/>
    </w:pPr>
    <w:rPr>
      <w:sz w:val="20"/>
      <w:szCs w:val="20"/>
    </w:rPr>
  </w:style>
  <w:style w:type="character" w:customStyle="1" w:styleId="CommentTextChar">
    <w:name w:val="Comment Text Char"/>
    <w:basedOn w:val="DefaultParagraphFont"/>
    <w:link w:val="CommentText"/>
    <w:rsid w:val="00603223"/>
    <w:rPr>
      <w:rFonts w:ascii="Arial" w:hAnsi="Arial"/>
    </w:rPr>
  </w:style>
  <w:style w:type="paragraph" w:styleId="CommentSubject">
    <w:name w:val="annotation subject"/>
    <w:basedOn w:val="CommentText"/>
    <w:next w:val="CommentText"/>
    <w:link w:val="CommentSubjectChar"/>
    <w:semiHidden/>
    <w:unhideWhenUsed/>
    <w:rsid w:val="00603223"/>
    <w:rPr>
      <w:b/>
      <w:bCs/>
    </w:rPr>
  </w:style>
  <w:style w:type="character" w:customStyle="1" w:styleId="CommentSubjectChar">
    <w:name w:val="Comment Subject Char"/>
    <w:basedOn w:val="CommentTextChar"/>
    <w:link w:val="CommentSubject"/>
    <w:semiHidden/>
    <w:rsid w:val="00603223"/>
    <w:rPr>
      <w:rFonts w:ascii="Arial" w:hAnsi="Arial"/>
      <w:b/>
      <w:bCs/>
    </w:rPr>
  </w:style>
  <w:style w:type="paragraph" w:styleId="Revision">
    <w:name w:val="Revision"/>
    <w:hidden/>
    <w:uiPriority w:val="99"/>
    <w:semiHidden/>
    <w:rsid w:val="005B673C"/>
    <w:rPr>
      <w:rFonts w:ascii="Arial" w:hAnsi="Arial"/>
      <w:sz w:val="22"/>
      <w:szCs w:val="22"/>
    </w:rPr>
  </w:style>
  <w:style w:type="paragraph" w:styleId="ListParagraph">
    <w:name w:val="List Paragraph"/>
    <w:basedOn w:val="Normal"/>
    <w:uiPriority w:val="34"/>
    <w:qFormat/>
    <w:rsid w:val="00674AA8"/>
    <w:pPr>
      <w:ind w:left="720"/>
      <w:contextualSpacing/>
    </w:pPr>
  </w:style>
  <w:style w:type="paragraph" w:styleId="FootnoteText">
    <w:name w:val="footnote text"/>
    <w:basedOn w:val="Normal"/>
    <w:link w:val="FootnoteTextChar"/>
    <w:semiHidden/>
    <w:unhideWhenUsed/>
    <w:rsid w:val="001209C6"/>
    <w:pPr>
      <w:spacing w:line="240" w:lineRule="auto"/>
    </w:pPr>
    <w:rPr>
      <w:sz w:val="20"/>
      <w:szCs w:val="20"/>
    </w:rPr>
  </w:style>
  <w:style w:type="character" w:customStyle="1" w:styleId="FootnoteTextChar">
    <w:name w:val="Footnote Text Char"/>
    <w:basedOn w:val="DefaultParagraphFont"/>
    <w:link w:val="FootnoteText"/>
    <w:semiHidden/>
    <w:rsid w:val="001209C6"/>
    <w:rPr>
      <w:rFonts w:ascii="Arial" w:hAnsi="Arial"/>
    </w:rPr>
  </w:style>
  <w:style w:type="character" w:styleId="FootnoteReference">
    <w:name w:val="footnote reference"/>
    <w:basedOn w:val="DefaultParagraphFont"/>
    <w:semiHidden/>
    <w:unhideWhenUsed/>
    <w:rsid w:val="0012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 E U ! 4 6 9 8 4 8 4 4 . 1 < / d o c u m e n t i d >  
     < s e n d e r i d > E H L < / s e n d e r i d >  
     < s e n d e r e m a i l > E T H A N . L E E S @ W I T H E R S W O R L D W I D E . C O M < / s e n d e r e m a i l >  
     < l a s t m o d i f i e d > 2 0 2 5 - 0 1 - 2 1 T 1 6 : 0 7 : 0 0 . 0 0 0 0 0 0 0 + 0 0 : 0 0 < / l a s t m o d i f i e d >  
     < d a t a b a s e > E U < / 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A8E4E766F18B74E8325D971750679D4" ma:contentTypeVersion="6" ma:contentTypeDescription="Create a new document." ma:contentTypeScope="" ma:versionID="1bd029ac33803fb2c30df1a84aefe61f">
  <xsd:schema xmlns:xsd="http://www.w3.org/2001/XMLSchema" xmlns:xs="http://www.w3.org/2001/XMLSchema" xmlns:p="http://schemas.microsoft.com/office/2006/metadata/properties" xmlns:ns2="6e9fcffe-6b60-48bc-961e-143cb50e0a43" xmlns:ns3="439bf64f-24da-40f6-85ec-533cb0e3d17a" targetNamespace="http://schemas.microsoft.com/office/2006/metadata/properties" ma:root="true" ma:fieldsID="366e4d18d0e0c98e64abf7224d3c06cd" ns2:_="" ns3:_="">
    <xsd:import namespace="6e9fcffe-6b60-48bc-961e-143cb50e0a43"/>
    <xsd:import namespace="439bf64f-24da-40f6-85ec-533cb0e3d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fcffe-6b60-48bc-961e-143cb50e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f64f-24da-40f6-85ec-533cb0e3d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F1A54-47B5-4D34-AC80-9B0D575D40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C20F2-1080-4DC1-B003-416501369A1C}">
  <ds:schemaRefs>
    <ds:schemaRef ds:uri="http://schemas.openxmlformats.org/officeDocument/2006/bibliography"/>
  </ds:schemaRefs>
</ds:datastoreItem>
</file>

<file path=customXml/itemProps3.xml><?xml version="1.0" encoding="utf-8"?>
<ds:datastoreItem xmlns:ds="http://schemas.openxmlformats.org/officeDocument/2006/customXml" ds:itemID="{E52A6669-F435-4735-8655-2000B5D3B82D}">
  <ds:schemaRefs>
    <ds:schemaRef ds:uri="http://www.imanage.com/work/xmlschema"/>
  </ds:schemaRefs>
</ds:datastoreItem>
</file>

<file path=customXml/itemProps4.xml><?xml version="1.0" encoding="utf-8"?>
<ds:datastoreItem xmlns:ds="http://schemas.openxmlformats.org/officeDocument/2006/customXml" ds:itemID="{47BC608C-6A41-4B64-94B4-9D3C477C8934}">
  <ds:schemaRefs>
    <ds:schemaRef ds:uri="http://schemas.microsoft.com/sharepoint/v3/contenttype/forms"/>
  </ds:schemaRefs>
</ds:datastoreItem>
</file>

<file path=customXml/itemProps5.xml><?xml version="1.0" encoding="utf-8"?>
<ds:datastoreItem xmlns:ds="http://schemas.openxmlformats.org/officeDocument/2006/customXml" ds:itemID="{98454488-ACEA-47AA-AF1A-8A5EE2B1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fcffe-6b60-48bc-961e-143cb50e0a43"/>
    <ds:schemaRef ds:uri="439bf64f-24da-40f6-85ec-533cb0e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3</Pages>
  <Words>960</Words>
  <Characters>4959</Characters>
  <Application>Microsoft Office Word</Application>
  <DocSecurity>0</DocSecurity>
  <Lines>41</Lines>
  <Paragraphs>11</Paragraphs>
  <ScaleCrop>false</ScaleCrop>
  <Company>ICAEW</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Hampton</dc:creator>
  <cp:lastModifiedBy>Jennifer Smith</cp:lastModifiedBy>
  <cp:revision>3</cp:revision>
  <cp:lastPrinted>1900-01-01T00:00:00Z</cp:lastPrinted>
  <dcterms:created xsi:type="dcterms:W3CDTF">2025-01-31T09:46:00Z</dcterms:created>
  <dcterms:modified xsi:type="dcterms:W3CDTF">2025-01-31T15:14:00Z</dcterms:modified>
</cp:coreProperties>
</file>