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BE4F" w14:textId="77777777" w:rsidR="00E712C5" w:rsidRDefault="000030F8" w:rsidP="009E0A31">
      <w:pPr>
        <w:pStyle w:val="Title"/>
        <w:ind w:right="1561"/>
        <w:sectPr w:rsidR="00E712C5" w:rsidSect="00BE1223">
          <w:footerReference w:type="default" r:id="rId11"/>
          <w:headerReference w:type="first" r:id="rId12"/>
          <w:footerReference w:type="first" r:id="rId13"/>
          <w:pgSz w:w="11909" w:h="16834" w:code="9"/>
          <w:pgMar w:top="1134" w:right="1134" w:bottom="1134" w:left="1134" w:header="284" w:footer="510" w:gutter="0"/>
          <w:cols w:space="720"/>
          <w:titlePg/>
          <w:docGrid w:linePitch="299"/>
        </w:sectPr>
      </w:pPr>
      <w:r>
        <w:t>Volunteer</w:t>
      </w:r>
      <w:r w:rsidR="00407059">
        <w:t xml:space="preserve"> Nominati</w:t>
      </w:r>
      <w:r>
        <w:t>on</w:t>
      </w:r>
      <w:r w:rsidR="00407059">
        <w:t xml:space="preserve"> Committee</w:t>
      </w:r>
    </w:p>
    <w:p w14:paraId="4BC21EC7" w14:textId="6DD9CBB0" w:rsidR="00671D5F" w:rsidRPr="00386C83" w:rsidRDefault="00407059" w:rsidP="00386C83">
      <w:pPr>
        <w:pStyle w:val="Heading2"/>
      </w:pPr>
      <w:r w:rsidRPr="00386C83">
        <w:t>Terms of Reference</w:t>
      </w:r>
      <w:r w:rsidR="007B43B0" w:rsidRPr="00386C83">
        <w:t>:</w:t>
      </w:r>
      <w:r w:rsidR="00F25B2D">
        <w:t xml:space="preserve"> </w:t>
      </w:r>
    </w:p>
    <w:p w14:paraId="2548D906" w14:textId="77777777" w:rsidR="003B471B" w:rsidRPr="00926A16" w:rsidRDefault="003B471B" w:rsidP="00A63292">
      <w:pPr>
        <w:pStyle w:val="Heading3"/>
      </w:pPr>
      <w:r w:rsidRPr="00926A16">
        <w:t>Purpose and Accountability</w:t>
      </w:r>
    </w:p>
    <w:p w14:paraId="76BA74CC" w14:textId="5CA67F28" w:rsidR="003B471B" w:rsidRPr="00926A16" w:rsidRDefault="003B471B" w:rsidP="00A63292">
      <w:pPr>
        <w:pStyle w:val="BodyText"/>
        <w:numPr>
          <w:ilvl w:val="0"/>
          <w:numId w:val="5"/>
        </w:numPr>
        <w:spacing w:after="120"/>
      </w:pPr>
      <w:r w:rsidRPr="00926A16">
        <w:t>The Volunteer Nomination Committee (VNC) leads on the nominations for committee membership of the Department</w:t>
      </w:r>
      <w:r w:rsidR="008970B6">
        <w:t>al</w:t>
      </w:r>
      <w:r w:rsidRPr="00926A16">
        <w:t xml:space="preserve"> Boards and their committees</w:t>
      </w:r>
      <w:r w:rsidR="00413C2C">
        <w:t xml:space="preserve"> </w:t>
      </w:r>
      <w:r w:rsidR="00413C2C" w:rsidRPr="00413C2C">
        <w:t xml:space="preserve">including any </w:t>
      </w:r>
      <w:r w:rsidR="009D5DAF">
        <w:t xml:space="preserve">advisory groups, boards or </w:t>
      </w:r>
      <w:r w:rsidR="00413C2C" w:rsidRPr="00413C2C">
        <w:t>committees</w:t>
      </w:r>
      <w:r w:rsidR="009D5DAF">
        <w:t xml:space="preserve"> </w:t>
      </w:r>
      <w:r w:rsidR="00413C2C" w:rsidRPr="00413C2C">
        <w:t xml:space="preserve"> for communities or local networks</w:t>
      </w:r>
      <w:r w:rsidR="00413C2C">
        <w:t>,</w:t>
      </w:r>
      <w:r w:rsidRPr="00926A16">
        <w:t xml:space="preserve"> and any ICAEW appointments </w:t>
      </w:r>
      <w:r w:rsidR="00386C83">
        <w:t xml:space="preserve">or nominations </w:t>
      </w:r>
      <w:r w:rsidRPr="00926A16">
        <w:t>to external bodies.</w:t>
      </w:r>
    </w:p>
    <w:p w14:paraId="5BCD61D0" w14:textId="797D18EF" w:rsidR="003B471B" w:rsidRPr="00926A16" w:rsidRDefault="003B471B" w:rsidP="00A63292">
      <w:pPr>
        <w:pStyle w:val="BodyText"/>
        <w:numPr>
          <w:ilvl w:val="0"/>
          <w:numId w:val="5"/>
        </w:numPr>
        <w:spacing w:after="120"/>
      </w:pPr>
      <w:r w:rsidRPr="00926A16">
        <w:t xml:space="preserve">VNC is a committee of </w:t>
      </w:r>
      <w:r w:rsidR="00AD4ED3">
        <w:t>the Governance &amp; Appointments Committee (</w:t>
      </w:r>
      <w:r w:rsidRPr="00926A16">
        <w:t>GAC</w:t>
      </w:r>
      <w:r w:rsidR="00AD4ED3">
        <w:t>)</w:t>
      </w:r>
      <w:r w:rsidRPr="00926A16">
        <w:t>. It is accountable to GAC.</w:t>
      </w:r>
    </w:p>
    <w:p w14:paraId="712E5581" w14:textId="77777777" w:rsidR="003B471B" w:rsidRDefault="003B471B" w:rsidP="00A63292">
      <w:pPr>
        <w:pStyle w:val="Heading3"/>
      </w:pPr>
      <w:r w:rsidRPr="00926A16">
        <w:t xml:space="preserve">Composition  </w:t>
      </w:r>
    </w:p>
    <w:p w14:paraId="1CB967ED" w14:textId="0F044C81" w:rsidR="00A04A4A" w:rsidRDefault="00A04A4A" w:rsidP="00A04A4A">
      <w:pPr>
        <w:pStyle w:val="BodyText"/>
        <w:numPr>
          <w:ilvl w:val="0"/>
          <w:numId w:val="5"/>
        </w:numPr>
        <w:spacing w:after="120"/>
      </w:pPr>
      <w:r>
        <w:t xml:space="preserve">VNC comprises up to </w:t>
      </w:r>
      <w:r w:rsidR="00BD3938">
        <w:t>8</w:t>
      </w:r>
      <w:r>
        <w:t xml:space="preserve"> members, including:</w:t>
      </w:r>
    </w:p>
    <w:p w14:paraId="1F9E2456" w14:textId="162A73CD" w:rsidR="00BD3938" w:rsidRDefault="00BD3938" w:rsidP="00A04A4A">
      <w:pPr>
        <w:pStyle w:val="BodyText"/>
        <w:numPr>
          <w:ilvl w:val="1"/>
          <w:numId w:val="5"/>
        </w:numPr>
        <w:spacing w:after="120"/>
      </w:pPr>
      <w:r>
        <w:t>The President</w:t>
      </w:r>
    </w:p>
    <w:p w14:paraId="16213D9D" w14:textId="78DBB43B" w:rsidR="00BD3938" w:rsidRDefault="00BD3938" w:rsidP="00A04A4A">
      <w:pPr>
        <w:pStyle w:val="BodyText"/>
        <w:numPr>
          <w:ilvl w:val="1"/>
          <w:numId w:val="5"/>
        </w:numPr>
        <w:spacing w:after="120"/>
      </w:pPr>
      <w:r>
        <w:t>The Deputy President</w:t>
      </w:r>
    </w:p>
    <w:p w14:paraId="4DF3D3AB" w14:textId="02AF8F39" w:rsidR="00A04A4A" w:rsidRDefault="00A04A4A" w:rsidP="00A04A4A">
      <w:pPr>
        <w:pStyle w:val="BodyText"/>
        <w:numPr>
          <w:ilvl w:val="1"/>
          <w:numId w:val="5"/>
        </w:numPr>
        <w:spacing w:after="120"/>
      </w:pPr>
      <w:r>
        <w:t xml:space="preserve">Chief Executive, as the </w:t>
      </w:r>
      <w:r w:rsidR="008970B6">
        <w:t>D</w:t>
      </w:r>
      <w:r>
        <w:t xml:space="preserve">epartmental </w:t>
      </w:r>
      <w:r w:rsidR="008970B6">
        <w:t>B</w:t>
      </w:r>
      <w:r>
        <w:t>oards report to them</w:t>
      </w:r>
    </w:p>
    <w:p w14:paraId="3141BB91" w14:textId="5483AB1C" w:rsidR="00AD4ED3" w:rsidRDefault="00AD4ED3" w:rsidP="00A04A4A">
      <w:pPr>
        <w:pStyle w:val="BodyText"/>
        <w:numPr>
          <w:ilvl w:val="1"/>
          <w:numId w:val="5"/>
        </w:numPr>
        <w:spacing w:after="120"/>
      </w:pPr>
      <w:r>
        <w:t>A further member of GAC</w:t>
      </w:r>
    </w:p>
    <w:p w14:paraId="407C8432" w14:textId="3EC9361E" w:rsidR="00A04A4A" w:rsidRDefault="00A04A4A" w:rsidP="00A04A4A">
      <w:pPr>
        <w:pStyle w:val="BodyText"/>
        <w:numPr>
          <w:ilvl w:val="1"/>
          <w:numId w:val="5"/>
        </w:numPr>
        <w:spacing w:after="120"/>
      </w:pPr>
      <w:r>
        <w:t xml:space="preserve">Up to four members appointed on a skills basis. These may be Council members, ICAEW members, or lay </w:t>
      </w:r>
      <w:r w:rsidR="008E5B31">
        <w:t>members.</w:t>
      </w:r>
    </w:p>
    <w:p w14:paraId="2E49F7B6" w14:textId="35D26CAA" w:rsidR="00AD4ED3" w:rsidRDefault="00AD4ED3" w:rsidP="000B6D78">
      <w:pPr>
        <w:pStyle w:val="BodyText"/>
        <w:numPr>
          <w:ilvl w:val="0"/>
          <w:numId w:val="5"/>
        </w:numPr>
        <w:spacing w:after="120"/>
      </w:pPr>
      <w:r>
        <w:t>The Chair shall be appointed by GAC from the membership of the VNC and shall be appointed for a term of more than one year.</w:t>
      </w:r>
    </w:p>
    <w:p w14:paraId="729615CD" w14:textId="2268EC9D" w:rsidR="003B471B" w:rsidRPr="00926A16" w:rsidRDefault="00987ED9" w:rsidP="000B6D78">
      <w:pPr>
        <w:pStyle w:val="BodyText"/>
        <w:numPr>
          <w:ilvl w:val="0"/>
          <w:numId w:val="5"/>
        </w:numPr>
        <w:spacing w:after="120"/>
      </w:pPr>
      <w:r>
        <w:t xml:space="preserve">The membership of </w:t>
      </w:r>
      <w:r w:rsidR="003B471B" w:rsidRPr="00926A16">
        <w:t xml:space="preserve">VNC </w:t>
      </w:r>
      <w:r>
        <w:t>will aim to</w:t>
      </w:r>
      <w:r w:rsidRPr="00926A16">
        <w:t xml:space="preserve"> </w:t>
      </w:r>
      <w:r w:rsidR="003B471B" w:rsidRPr="00926A16">
        <w:t>include members with a diverse range of experience and background as well as a diversity of protected characteristics as defined in the relevant UK laws.</w:t>
      </w:r>
    </w:p>
    <w:p w14:paraId="02CF5A21" w14:textId="72C0817D" w:rsidR="003B471B" w:rsidRDefault="003B471B" w:rsidP="000B6D78">
      <w:pPr>
        <w:pStyle w:val="BodyText"/>
        <w:numPr>
          <w:ilvl w:val="0"/>
          <w:numId w:val="5"/>
        </w:numPr>
        <w:spacing w:after="120"/>
      </w:pPr>
      <w:r w:rsidRPr="00926A16">
        <w:t>Appointments to VNC are made by GAC</w:t>
      </w:r>
      <w:r w:rsidR="002543E5">
        <w:t>. With t</w:t>
      </w:r>
      <w:r w:rsidR="00987ED9">
        <w:t>he exce</w:t>
      </w:r>
      <w:r w:rsidR="00336500">
        <w:t>p</w:t>
      </w:r>
      <w:r w:rsidR="00987ED9">
        <w:t>tion of appoi</w:t>
      </w:r>
      <w:r w:rsidR="002543E5">
        <w:t xml:space="preserve">ntments </w:t>
      </w:r>
      <w:r w:rsidR="71170DD3">
        <w:t xml:space="preserve">to VNC </w:t>
      </w:r>
      <w:r w:rsidR="002543E5">
        <w:t>ex-officio, t</w:t>
      </w:r>
      <w:r w:rsidR="00FB6D4A">
        <w:rPr>
          <w:rStyle w:val="normaltextrun"/>
          <w:rFonts w:cs="Arial"/>
          <w:color w:val="000000"/>
          <w:shd w:val="clear" w:color="auto" w:fill="FFFFFF"/>
          <w:lang w:val="en-US"/>
        </w:rPr>
        <w:t>he term of office is three years, renewable once. A third term of up to three years may be added in exceptional circumstances, subject to the approval of the GAC.</w:t>
      </w:r>
    </w:p>
    <w:p w14:paraId="31154F8F" w14:textId="468AFEF9" w:rsidR="009D50FD" w:rsidRDefault="009D50FD" w:rsidP="000B6D78">
      <w:pPr>
        <w:pStyle w:val="BodyText"/>
        <w:numPr>
          <w:ilvl w:val="0"/>
          <w:numId w:val="5"/>
        </w:numPr>
        <w:spacing w:after="120"/>
      </w:pPr>
      <w:r>
        <w:t>The quorum is three and must include at least one appointed member of the committee.</w:t>
      </w:r>
    </w:p>
    <w:p w14:paraId="67C152D1" w14:textId="77777777" w:rsidR="003B471B" w:rsidRDefault="003B471B" w:rsidP="00A63292">
      <w:pPr>
        <w:pStyle w:val="Heading3"/>
        <w:tabs>
          <w:tab w:val="left" w:pos="4080"/>
        </w:tabs>
      </w:pPr>
      <w:r w:rsidRPr="00926A16">
        <w:t xml:space="preserve">Powers and Authorities  </w:t>
      </w:r>
    </w:p>
    <w:p w14:paraId="54483370" w14:textId="73B80947" w:rsidR="008970B6" w:rsidRPr="008970B6" w:rsidRDefault="008970B6" w:rsidP="009E0A31">
      <w:pPr>
        <w:pStyle w:val="Heading4"/>
      </w:pPr>
      <w:r>
        <w:t>Committee Review</w:t>
      </w:r>
    </w:p>
    <w:p w14:paraId="4DFFDC63" w14:textId="3A2116F3" w:rsidR="000A24BC" w:rsidRDefault="003B471B" w:rsidP="000B6D78">
      <w:pPr>
        <w:pStyle w:val="BodyText"/>
        <w:numPr>
          <w:ilvl w:val="0"/>
          <w:numId w:val="5"/>
        </w:numPr>
        <w:spacing w:after="120"/>
      </w:pPr>
      <w:r w:rsidRPr="00926A16">
        <w:t xml:space="preserve">VNC is responsible for the annual Committee Review </w:t>
      </w:r>
      <w:r w:rsidR="008E5B31">
        <w:t>p</w:t>
      </w:r>
      <w:r w:rsidRPr="00926A16">
        <w:t xml:space="preserve">rocess. </w:t>
      </w:r>
      <w:r w:rsidR="00413C2C">
        <w:t xml:space="preserve">The Committee Review process considers the effectiveness of the process by which appointments are made. </w:t>
      </w:r>
      <w:r w:rsidRPr="00926A16">
        <w:t xml:space="preserve">Via this process, VNC makes recommendations for appointments </w:t>
      </w:r>
      <w:bookmarkStart w:id="0" w:name="_Hlk149739241"/>
      <w:r w:rsidR="00413C2C">
        <w:t xml:space="preserve">to these bodies </w:t>
      </w:r>
      <w:r w:rsidRPr="00926A16">
        <w:t xml:space="preserve">for approval by </w:t>
      </w:r>
      <w:r w:rsidR="00413C2C">
        <w:t xml:space="preserve">the </w:t>
      </w:r>
      <w:r w:rsidRPr="00926A16">
        <w:t>GAC.</w:t>
      </w:r>
      <w:r w:rsidR="00A04A4A">
        <w:t xml:space="preserve"> </w:t>
      </w:r>
    </w:p>
    <w:p w14:paraId="7E9309EB" w14:textId="227A45B7" w:rsidR="003B471B" w:rsidRDefault="00A04A4A" w:rsidP="000B6D78">
      <w:pPr>
        <w:pStyle w:val="BodyText"/>
        <w:numPr>
          <w:ilvl w:val="0"/>
          <w:numId w:val="5"/>
        </w:numPr>
        <w:spacing w:after="120"/>
      </w:pPr>
      <w:r>
        <w:t>As a</w:t>
      </w:r>
      <w:r w:rsidR="008E5B31">
        <w:t xml:space="preserve"> </w:t>
      </w:r>
      <w:r>
        <w:t>part of th</w:t>
      </w:r>
      <w:r w:rsidR="008F1508">
        <w:t>e Committee Review</w:t>
      </w:r>
      <w:r>
        <w:t xml:space="preserve"> process, the VNC will consider succession planning for each of these boards and committees.</w:t>
      </w:r>
    </w:p>
    <w:p w14:paraId="043D5B9B" w14:textId="50A9FD59" w:rsidR="00413C2C" w:rsidRDefault="00413C2C" w:rsidP="000B6D78">
      <w:pPr>
        <w:pStyle w:val="BodyText"/>
        <w:numPr>
          <w:ilvl w:val="0"/>
          <w:numId w:val="5"/>
        </w:numPr>
        <w:spacing w:after="120"/>
      </w:pPr>
      <w:r>
        <w:lastRenderedPageBreak/>
        <w:t>Appointments to these bodies may be made outside of the annual Committee Review process where VNC agrees.</w:t>
      </w:r>
    </w:p>
    <w:p w14:paraId="23A8E959" w14:textId="7FD14779" w:rsidR="008970B6" w:rsidRPr="00926A16" w:rsidRDefault="008970B6" w:rsidP="009E0A31">
      <w:pPr>
        <w:pStyle w:val="Heading4"/>
      </w:pPr>
      <w:r>
        <w:t>External Appointments</w:t>
      </w:r>
    </w:p>
    <w:bookmarkEnd w:id="0"/>
    <w:p w14:paraId="56D9C45D" w14:textId="62DBAC90" w:rsidR="00A04A4A" w:rsidRDefault="003B471B" w:rsidP="00AD4ED3">
      <w:pPr>
        <w:pStyle w:val="BodyText"/>
        <w:numPr>
          <w:ilvl w:val="0"/>
          <w:numId w:val="5"/>
        </w:numPr>
        <w:spacing w:after="120"/>
      </w:pPr>
      <w:r w:rsidRPr="00926A16">
        <w:t xml:space="preserve">VNC is responsible for </w:t>
      </w:r>
      <w:r w:rsidR="00974594">
        <w:t xml:space="preserve">approving, after due consideration, </w:t>
      </w:r>
      <w:r w:rsidRPr="00926A16">
        <w:t xml:space="preserve">any appointments of members to the boards or committees of external bodies, or bodies associated with ICAEW, where those members are appointed </w:t>
      </w:r>
      <w:r w:rsidR="00E712C5">
        <w:t>by or nominated by</w:t>
      </w:r>
      <w:r w:rsidRPr="00926A16">
        <w:t xml:space="preserve"> ICAEW. This includes but is not limited to: The Consultative Committee of Accountancy Bodies (CCAB), Takeover Panel, </w:t>
      </w:r>
      <w:r w:rsidR="00E712C5">
        <w:t xml:space="preserve">Global Accounting Alliance, Chartered Accountants Worldwide, </w:t>
      </w:r>
      <w:r w:rsidRPr="00926A16">
        <w:t>FCA Ltd (Staff Pensions Fund Trustee) and Chartered Accountants’ Trustees Ltd (CAT/Foundation).</w:t>
      </w:r>
      <w:r w:rsidR="00A04A4A">
        <w:t xml:space="preserve"> As a</w:t>
      </w:r>
      <w:r w:rsidR="008E5B31">
        <w:t xml:space="preserve"> </w:t>
      </w:r>
      <w:r w:rsidR="00A04A4A">
        <w:t>part of this process, the VNC will consider succession planning for each of these boards and committees.</w:t>
      </w:r>
    </w:p>
    <w:p w14:paraId="3D29B11D" w14:textId="609BCF2D" w:rsidR="00974594" w:rsidRDefault="00974594" w:rsidP="000B6D78">
      <w:pPr>
        <w:pStyle w:val="BodyText"/>
        <w:numPr>
          <w:ilvl w:val="0"/>
          <w:numId w:val="5"/>
        </w:numPr>
        <w:spacing w:after="120"/>
      </w:pPr>
      <w:r>
        <w:t>VNC shall report such appointments to GAC.</w:t>
      </w:r>
    </w:p>
    <w:p w14:paraId="4941F4B1" w14:textId="61CBE1FB" w:rsidR="008970B6" w:rsidRDefault="008970B6" w:rsidP="009E0A31">
      <w:pPr>
        <w:pStyle w:val="Heading4"/>
      </w:pPr>
      <w:r>
        <w:t>Other</w:t>
      </w:r>
    </w:p>
    <w:p w14:paraId="65FD7C07" w14:textId="77777777" w:rsidR="003B471B" w:rsidRDefault="003B471B" w:rsidP="000B6D78">
      <w:pPr>
        <w:pStyle w:val="BodyText"/>
        <w:numPr>
          <w:ilvl w:val="0"/>
          <w:numId w:val="5"/>
        </w:numPr>
        <w:spacing w:after="120"/>
      </w:pPr>
      <w:r w:rsidRPr="00926A16">
        <w:t xml:space="preserve">VNC works to help develop the pipeline of active members, including Council members. </w:t>
      </w:r>
    </w:p>
    <w:p w14:paraId="39456D2C" w14:textId="38D595E7" w:rsidR="001017FA" w:rsidRPr="00926A16" w:rsidRDefault="001017FA" w:rsidP="000B6D78">
      <w:pPr>
        <w:pStyle w:val="BodyText"/>
        <w:numPr>
          <w:ilvl w:val="0"/>
          <w:numId w:val="5"/>
        </w:numPr>
        <w:spacing w:after="120"/>
      </w:pPr>
      <w:r>
        <w:t>VNC is responsible for</w:t>
      </w:r>
      <w:r w:rsidR="00017E54">
        <w:t xml:space="preserve"> keeping the programme of training for active members under review.</w:t>
      </w:r>
    </w:p>
    <w:p w14:paraId="488C0C02" w14:textId="77777777" w:rsidR="003B471B" w:rsidRPr="00926A16" w:rsidRDefault="003B471B" w:rsidP="00A63292">
      <w:pPr>
        <w:pStyle w:val="Heading3"/>
      </w:pPr>
      <w:r w:rsidRPr="00926A16">
        <w:t>Operation of the Committee</w:t>
      </w:r>
    </w:p>
    <w:p w14:paraId="3FB57F0B" w14:textId="1B7BDA34" w:rsidR="003B471B" w:rsidRPr="00926A16" w:rsidRDefault="003B471B" w:rsidP="000B6D78">
      <w:pPr>
        <w:pStyle w:val="BodyText"/>
        <w:numPr>
          <w:ilvl w:val="0"/>
          <w:numId w:val="5"/>
        </w:numPr>
        <w:spacing w:after="120"/>
      </w:pPr>
      <w:r w:rsidRPr="00926A16">
        <w:t xml:space="preserve">The VNC Chair shall report to GAC to enable GAC to review the work of the VNC on </w:t>
      </w:r>
      <w:r w:rsidR="00FB6D4A">
        <w:t xml:space="preserve">at least an </w:t>
      </w:r>
      <w:r w:rsidRPr="00926A16">
        <w:t>annual basis</w:t>
      </w:r>
      <w:r>
        <w:t xml:space="preserve"> to enable GAC to assess whether the VNC is fulfilling its purpose</w:t>
      </w:r>
      <w:r w:rsidRPr="00926A16">
        <w:t>. The report of the VNC to GAC shall include the nature and content of its discussion</w:t>
      </w:r>
      <w:r w:rsidR="00690D6D">
        <w:t>s</w:t>
      </w:r>
      <w:r w:rsidRPr="00926A16">
        <w:t>, decisions, recommendations, and action to be taken</w:t>
      </w:r>
      <w:r w:rsidR="00690D6D">
        <w:t>. W</w:t>
      </w:r>
      <w:r w:rsidR="00FB6D4A">
        <w:t>here appropriate</w:t>
      </w:r>
      <w:r w:rsidR="00690D6D">
        <w:t>,</w:t>
      </w:r>
      <w:r w:rsidR="00FB6D4A">
        <w:t xml:space="preserve"> elements of this report may be replaced with minutes of the VNC.</w:t>
      </w:r>
    </w:p>
    <w:p w14:paraId="30D7AC6D" w14:textId="77777777" w:rsidR="003B471B" w:rsidRPr="00926A16" w:rsidRDefault="003B471B" w:rsidP="000B6D78">
      <w:pPr>
        <w:pStyle w:val="BodyText"/>
        <w:numPr>
          <w:ilvl w:val="0"/>
          <w:numId w:val="5"/>
        </w:numPr>
        <w:spacing w:after="120"/>
      </w:pPr>
      <w:r w:rsidRPr="00926A16">
        <w:t xml:space="preserve">VNC shall make whatever recommendations it deems appropriate on any area within its remit where action or improvement is needed, and adequate time should be made available for GAC and Council discussion when necessary. </w:t>
      </w:r>
    </w:p>
    <w:p w14:paraId="5CFEACDC" w14:textId="77777777" w:rsidR="003B471B" w:rsidRPr="00926A16" w:rsidRDefault="003B471B" w:rsidP="000B6D78">
      <w:pPr>
        <w:pStyle w:val="BodyText"/>
        <w:numPr>
          <w:ilvl w:val="0"/>
          <w:numId w:val="5"/>
        </w:numPr>
        <w:spacing w:after="120"/>
      </w:pPr>
      <w:r w:rsidRPr="00926A16">
        <w:t xml:space="preserve">VNC will carry out its responsibilities within the framework of general duties contained within the Governance Handbook. </w:t>
      </w:r>
    </w:p>
    <w:p w14:paraId="313A56E7" w14:textId="77777777" w:rsidR="003B471B" w:rsidRPr="00926A16" w:rsidRDefault="003B471B" w:rsidP="000B6D78">
      <w:pPr>
        <w:pStyle w:val="BodyText"/>
        <w:numPr>
          <w:ilvl w:val="0"/>
          <w:numId w:val="5"/>
        </w:numPr>
        <w:spacing w:after="120"/>
      </w:pPr>
      <w:r w:rsidRPr="00926A16">
        <w:t>VNC shall meet as often as required to fulfil its duties. As a minimum this will be 3 times a year.</w:t>
      </w:r>
    </w:p>
    <w:p w14:paraId="2624B3BC" w14:textId="06FDF8F6" w:rsidR="003B471B" w:rsidRPr="00926A16" w:rsidRDefault="003B471B" w:rsidP="000B6D78">
      <w:pPr>
        <w:pStyle w:val="BodyText"/>
        <w:numPr>
          <w:ilvl w:val="0"/>
          <w:numId w:val="5"/>
        </w:numPr>
        <w:spacing w:after="120"/>
      </w:pPr>
      <w:r w:rsidRPr="00926A16">
        <w:t xml:space="preserve">Only members of VNC have the right to attend committee meetings. However, other individuals may be invited </w:t>
      </w:r>
      <w:r w:rsidR="000C37BA">
        <w:t xml:space="preserve">by the Chair </w:t>
      </w:r>
      <w:r w:rsidRPr="00926A16">
        <w:t xml:space="preserve">to attend and contribute to VNC meetings as appropriate. </w:t>
      </w:r>
    </w:p>
    <w:p w14:paraId="691008A3" w14:textId="77777777" w:rsidR="003B471B" w:rsidRPr="00926A16" w:rsidRDefault="003B471B" w:rsidP="000B6D78">
      <w:pPr>
        <w:pStyle w:val="BodyText"/>
        <w:numPr>
          <w:ilvl w:val="0"/>
          <w:numId w:val="5"/>
        </w:numPr>
        <w:spacing w:after="120"/>
      </w:pPr>
      <w:r w:rsidRPr="00926A16">
        <w:t xml:space="preserve">In the absence of the VNC Chair and an appointed deputy, the remaining members present shall select one of themselves to chair the meeting. </w:t>
      </w:r>
    </w:p>
    <w:p w14:paraId="50BDE2EA" w14:textId="2F63D743" w:rsidR="003B471B" w:rsidRPr="00926A16" w:rsidRDefault="003B471B" w:rsidP="000B6D78">
      <w:pPr>
        <w:pStyle w:val="BodyText"/>
        <w:numPr>
          <w:ilvl w:val="0"/>
          <w:numId w:val="5"/>
        </w:numPr>
        <w:spacing w:after="120"/>
      </w:pPr>
      <w:bookmarkStart w:id="1" w:name="_Hlk163636823"/>
      <w:r>
        <w:t xml:space="preserve">VNC </w:t>
      </w:r>
      <w:r w:rsidR="005B315E">
        <w:t xml:space="preserve">shall </w:t>
      </w:r>
      <w:r>
        <w:t>have access to sufficient resources to carry out its duties, including access to the Governance Office for advice and assistance as required. The Governance Office shall provide committee secretariat support to the Committee.</w:t>
      </w:r>
    </w:p>
    <w:bookmarkEnd w:id="1"/>
    <w:p w14:paraId="1FB7091F" w14:textId="77777777" w:rsidR="003B471B" w:rsidRDefault="003B471B" w:rsidP="000B6D78">
      <w:pPr>
        <w:pStyle w:val="BodyText"/>
        <w:numPr>
          <w:ilvl w:val="0"/>
          <w:numId w:val="5"/>
        </w:numPr>
        <w:spacing w:after="120"/>
      </w:pPr>
      <w:r w:rsidRPr="00926A16">
        <w:t>VNC</w:t>
      </w:r>
      <w:r w:rsidRPr="00926A16">
        <w:rPr>
          <w:rFonts w:cs="Arial"/>
          <w:color w:val="D13438"/>
          <w:bdr w:val="none" w:sz="0" w:space="0" w:color="auto" w:frame="1"/>
        </w:rPr>
        <w:t xml:space="preserve"> </w:t>
      </w:r>
      <w:r w:rsidRPr="00926A16">
        <w:t>will take account of matters of diversity, equity and inclusion in its activities and recommendations.</w:t>
      </w:r>
    </w:p>
    <w:p w14:paraId="3532507A" w14:textId="77777777" w:rsidR="00F139B4" w:rsidRDefault="00F139B4" w:rsidP="00F139B4">
      <w:pPr>
        <w:pStyle w:val="BodyText"/>
        <w:spacing w:after="120"/>
        <w:ind w:left="501"/>
      </w:pPr>
    </w:p>
    <w:tbl>
      <w:tblPr>
        <w:tblStyle w:val="TableGrid"/>
        <w:tblW w:w="0" w:type="auto"/>
        <w:tblLook w:val="04A0" w:firstRow="1" w:lastRow="0" w:firstColumn="1" w:lastColumn="0" w:noHBand="0" w:noVBand="1"/>
      </w:tblPr>
      <w:tblGrid>
        <w:gridCol w:w="4815"/>
        <w:gridCol w:w="4816"/>
      </w:tblGrid>
      <w:tr w:rsidR="00F139B4" w14:paraId="428FFF31" w14:textId="77777777" w:rsidTr="0092745D">
        <w:tc>
          <w:tcPr>
            <w:tcW w:w="4815" w:type="dxa"/>
          </w:tcPr>
          <w:p w14:paraId="72EEB36A" w14:textId="77777777" w:rsidR="00F139B4" w:rsidRPr="00407DA6" w:rsidRDefault="00F139B4" w:rsidP="00F139B4">
            <w:pPr>
              <w:pStyle w:val="BodyText"/>
              <w:spacing w:after="120"/>
              <w:rPr>
                <w:b/>
                <w:bCs/>
              </w:rPr>
            </w:pPr>
            <w:r w:rsidRPr="00407DA6">
              <w:rPr>
                <w:b/>
                <w:bCs/>
              </w:rPr>
              <w:t>Date Approved</w:t>
            </w:r>
          </w:p>
        </w:tc>
        <w:tc>
          <w:tcPr>
            <w:tcW w:w="4816" w:type="dxa"/>
          </w:tcPr>
          <w:p w14:paraId="4A65E85C" w14:textId="33E29745" w:rsidR="00F139B4" w:rsidRDefault="0044559F" w:rsidP="0092745D">
            <w:pPr>
              <w:pStyle w:val="BodyText"/>
              <w:spacing w:after="120"/>
            </w:pPr>
            <w:r>
              <w:t>14 May 2024</w:t>
            </w:r>
          </w:p>
        </w:tc>
      </w:tr>
      <w:tr w:rsidR="00F139B4" w14:paraId="0C4D81D9" w14:textId="77777777" w:rsidTr="0092745D">
        <w:tc>
          <w:tcPr>
            <w:tcW w:w="4815" w:type="dxa"/>
          </w:tcPr>
          <w:p w14:paraId="293DD89D" w14:textId="77777777" w:rsidR="00F139B4" w:rsidRPr="00407DA6" w:rsidRDefault="00F139B4" w:rsidP="0092745D">
            <w:pPr>
              <w:pStyle w:val="BodyText"/>
              <w:spacing w:after="120"/>
              <w:rPr>
                <w:b/>
                <w:bCs/>
              </w:rPr>
            </w:pPr>
            <w:r w:rsidRPr="00407DA6">
              <w:rPr>
                <w:b/>
                <w:bCs/>
              </w:rPr>
              <w:t>Amendments</w:t>
            </w:r>
          </w:p>
        </w:tc>
        <w:tc>
          <w:tcPr>
            <w:tcW w:w="4816" w:type="dxa"/>
          </w:tcPr>
          <w:p w14:paraId="44ABC265" w14:textId="77777777" w:rsidR="00F139B4" w:rsidRDefault="00F139B4" w:rsidP="0092745D">
            <w:pPr>
              <w:pStyle w:val="BodyText"/>
              <w:spacing w:after="120"/>
            </w:pPr>
          </w:p>
        </w:tc>
      </w:tr>
    </w:tbl>
    <w:p w14:paraId="4EDBCCB5" w14:textId="4AF6A397" w:rsidR="00F139B4" w:rsidRDefault="00F139B4">
      <w:pPr>
        <w:spacing w:line="240" w:lineRule="auto"/>
      </w:pPr>
    </w:p>
    <w:p w14:paraId="2DFB9DC7" w14:textId="3EBA2733" w:rsidR="006877D7" w:rsidRDefault="006877D7" w:rsidP="009E0A31">
      <w:pPr>
        <w:pStyle w:val="Heading2"/>
      </w:pPr>
      <w:r>
        <w:lastRenderedPageBreak/>
        <w:t>Appendix</w:t>
      </w:r>
      <w:r w:rsidR="0053367E">
        <w:t xml:space="preserve">: </w:t>
      </w:r>
      <w:r w:rsidR="00E712C5">
        <w:t xml:space="preserve">ICAEW </w:t>
      </w:r>
      <w:r>
        <w:t>Departmental Boards and their committees as of April 2024</w:t>
      </w:r>
    </w:p>
    <w:tbl>
      <w:tblPr>
        <w:tblStyle w:val="GridTable2-Accent1"/>
        <w:tblW w:w="9498" w:type="dxa"/>
        <w:tblLook w:val="04A0" w:firstRow="1" w:lastRow="0" w:firstColumn="1" w:lastColumn="0" w:noHBand="0" w:noVBand="1"/>
      </w:tblPr>
      <w:tblGrid>
        <w:gridCol w:w="1985"/>
        <w:gridCol w:w="4111"/>
        <w:gridCol w:w="3402"/>
      </w:tblGrid>
      <w:tr w:rsidR="0053367E" w:rsidRPr="003367C8" w14:paraId="7DC38F2E" w14:textId="70E3FF49" w:rsidTr="009E0A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1373B340" w14:textId="24C8FD36" w:rsidR="0053367E" w:rsidRPr="009E0A31" w:rsidRDefault="0053367E" w:rsidP="009E0A31">
            <w:pPr>
              <w:spacing w:line="240" w:lineRule="auto"/>
              <w:contextualSpacing/>
              <w:rPr>
                <w:rFonts w:cs="Arial"/>
                <w:sz w:val="20"/>
                <w:szCs w:val="20"/>
              </w:rPr>
            </w:pPr>
            <w:r w:rsidRPr="009E0A31">
              <w:rPr>
                <w:rFonts w:cs="Arial"/>
                <w:sz w:val="20"/>
                <w:szCs w:val="20"/>
              </w:rPr>
              <w:t xml:space="preserve">Departmental Boards </w:t>
            </w:r>
          </w:p>
        </w:tc>
        <w:tc>
          <w:tcPr>
            <w:tcW w:w="4111" w:type="dxa"/>
            <w:shd w:val="clear" w:color="auto" w:fill="auto"/>
          </w:tcPr>
          <w:p w14:paraId="58B047E9" w14:textId="1ED48D2D" w:rsidR="0053367E" w:rsidRPr="009E0A31" w:rsidRDefault="0053367E" w:rsidP="009E0A31">
            <w:pPr>
              <w:spacing w:line="240" w:lineRule="auto"/>
              <w:contextualSpacing/>
              <w:cnfStyle w:val="100000000000" w:firstRow="1"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Committees in scope of VNC</w:t>
            </w:r>
          </w:p>
        </w:tc>
        <w:tc>
          <w:tcPr>
            <w:tcW w:w="3402" w:type="dxa"/>
          </w:tcPr>
          <w:p w14:paraId="75C579F2" w14:textId="4E729AD3" w:rsidR="0053367E" w:rsidRPr="009E0A31" w:rsidRDefault="0053367E" w:rsidP="009E0A31">
            <w:pPr>
              <w:spacing w:line="240" w:lineRule="auto"/>
              <w:contextualSpacing/>
              <w:cnfStyle w:val="100000000000" w:firstRow="1"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Committees out of scope of VNC</w:t>
            </w:r>
            <w:r w:rsidR="00E712C5" w:rsidRPr="009E0A31">
              <w:rPr>
                <w:rStyle w:val="FootnoteReference"/>
                <w:rFonts w:cs="Arial"/>
                <w:sz w:val="20"/>
                <w:szCs w:val="20"/>
              </w:rPr>
              <w:footnoteReference w:id="1"/>
            </w:r>
          </w:p>
        </w:tc>
      </w:tr>
      <w:tr w:rsidR="003367C8" w:rsidRPr="003367C8" w14:paraId="4B0A1FC3" w14:textId="33E41E71" w:rsidTr="00D9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BFBFBF" w:themeFill="background1" w:themeFillShade="BF"/>
          </w:tcPr>
          <w:p w14:paraId="5170B3AF" w14:textId="3F897BC0" w:rsidR="003367C8" w:rsidRPr="009E0A31" w:rsidRDefault="003367C8" w:rsidP="009E0A31">
            <w:pPr>
              <w:spacing w:line="240" w:lineRule="auto"/>
              <w:contextualSpacing/>
              <w:rPr>
                <w:rFonts w:cs="Arial"/>
                <w:sz w:val="20"/>
                <w:szCs w:val="20"/>
              </w:rPr>
            </w:pPr>
            <w:r w:rsidRPr="009E0A31">
              <w:rPr>
                <w:rFonts w:cs="Arial"/>
                <w:sz w:val="20"/>
                <w:szCs w:val="20"/>
              </w:rPr>
              <w:t>Reputation &amp; Influence</w:t>
            </w:r>
          </w:p>
        </w:tc>
      </w:tr>
      <w:tr w:rsidR="003367C8" w:rsidRPr="003367C8" w14:paraId="7A3C4349" w14:textId="6BAA2A39" w:rsidTr="001430A9">
        <w:tc>
          <w:tcPr>
            <w:cnfStyle w:val="001000000000" w:firstRow="0" w:lastRow="0" w:firstColumn="1" w:lastColumn="0" w:oddVBand="0" w:evenVBand="0" w:oddHBand="0" w:evenHBand="0" w:firstRowFirstColumn="0" w:firstRowLastColumn="0" w:lastRowFirstColumn="0" w:lastRowLastColumn="0"/>
            <w:tcW w:w="1985" w:type="dxa"/>
            <w:vMerge w:val="restart"/>
          </w:tcPr>
          <w:p w14:paraId="3DA2FDDD" w14:textId="692007AF" w:rsidR="003367C8" w:rsidRPr="009E0A31" w:rsidRDefault="003367C8" w:rsidP="009E0A31">
            <w:pPr>
              <w:spacing w:line="240" w:lineRule="auto"/>
              <w:contextualSpacing/>
              <w:rPr>
                <w:rFonts w:cs="Arial"/>
                <w:b w:val="0"/>
                <w:bCs w:val="0"/>
                <w:sz w:val="20"/>
                <w:szCs w:val="20"/>
              </w:rPr>
            </w:pPr>
            <w:r w:rsidRPr="009E0A31">
              <w:rPr>
                <w:rFonts w:cs="Arial"/>
                <w:sz w:val="20"/>
                <w:szCs w:val="20"/>
              </w:rPr>
              <w:t>Technical Strategy Board</w:t>
            </w:r>
          </w:p>
        </w:tc>
        <w:tc>
          <w:tcPr>
            <w:tcW w:w="4111" w:type="dxa"/>
          </w:tcPr>
          <w:p w14:paraId="1A81740A" w14:textId="77777777" w:rsidR="003367C8" w:rsidRPr="009E0A31" w:rsidRDefault="003367C8" w:rsidP="009E0A31">
            <w:pPr>
              <w:spacing w:line="240"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Faculty Boards reporting to TSB</w:t>
            </w:r>
          </w:p>
          <w:p w14:paraId="734D6617" w14:textId="62B7CD50" w:rsidR="003367C8" w:rsidRPr="009E0A31" w:rsidRDefault="003367C8" w:rsidP="009E0A31">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Financial Services Faculty Board</w:t>
            </w:r>
          </w:p>
          <w:p w14:paraId="7B5284FA" w14:textId="51FE333A" w:rsidR="003367C8" w:rsidRPr="009E0A31" w:rsidRDefault="003367C8" w:rsidP="009E0A31">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Corporate Finance Faculty Board</w:t>
            </w:r>
          </w:p>
          <w:p w14:paraId="27C45824" w14:textId="7A8AE5F2" w:rsidR="003367C8" w:rsidRPr="009E0A31" w:rsidRDefault="003367C8" w:rsidP="009E0A31">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Corporate Reporting Faculty Board</w:t>
            </w:r>
          </w:p>
          <w:p w14:paraId="32763785" w14:textId="0E1BC320" w:rsidR="003367C8" w:rsidRPr="009E0A31" w:rsidRDefault="003367C8" w:rsidP="009E0A31">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Audit &amp; Assurance Faculty Board</w:t>
            </w:r>
          </w:p>
          <w:p w14:paraId="7C3CA601" w14:textId="7A64B2E9" w:rsidR="003367C8" w:rsidRPr="009E0A31" w:rsidRDefault="003367C8" w:rsidP="009E0A31">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Tech Faculty Board</w:t>
            </w:r>
          </w:p>
          <w:p w14:paraId="52939D6B" w14:textId="5406D0C1" w:rsidR="003367C8" w:rsidRPr="009E0A31" w:rsidRDefault="003367C8" w:rsidP="009E0A31">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Tax Faculty Board</w:t>
            </w:r>
          </w:p>
        </w:tc>
        <w:tc>
          <w:tcPr>
            <w:tcW w:w="3402" w:type="dxa"/>
          </w:tcPr>
          <w:p w14:paraId="341AF4BE" w14:textId="77777777" w:rsidR="003367C8" w:rsidRPr="009E0A31" w:rsidRDefault="003367C8" w:rsidP="009E0A31">
            <w:pPr>
              <w:spacing w:line="240"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Other technical working groups and advisor bodies</w:t>
            </w:r>
          </w:p>
          <w:p w14:paraId="477CDA0B" w14:textId="77777777" w:rsidR="003367C8" w:rsidRDefault="003367C8" w:rsidP="009E0A31">
            <w:pPr>
              <w:spacing w:line="240"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(various sector &amp; topic specific committees within faculties etc)</w:t>
            </w:r>
          </w:p>
          <w:p w14:paraId="7A22AAE4" w14:textId="296A6596" w:rsidR="00EA5AD0" w:rsidRPr="009E0A31" w:rsidRDefault="00EA5AD0" w:rsidP="009E0A31">
            <w:pPr>
              <w:spacing w:line="240"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3367C8" w:rsidRPr="003367C8" w14:paraId="6642FC50" w14:textId="1F02D31C" w:rsidTr="00143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14:paraId="6BD6F4B4" w14:textId="19529F8E" w:rsidR="003367C8" w:rsidRPr="009E0A31" w:rsidRDefault="003367C8" w:rsidP="009E0A31">
            <w:pPr>
              <w:spacing w:line="240" w:lineRule="auto"/>
              <w:contextualSpacing/>
              <w:rPr>
                <w:rFonts w:cs="Arial"/>
                <w:sz w:val="20"/>
                <w:szCs w:val="20"/>
              </w:rPr>
            </w:pPr>
          </w:p>
        </w:tc>
        <w:tc>
          <w:tcPr>
            <w:tcW w:w="4111" w:type="dxa"/>
          </w:tcPr>
          <w:p w14:paraId="0F7767E4" w14:textId="77777777" w:rsidR="003367C8" w:rsidRPr="009E0A31" w:rsidRDefault="003367C8" w:rsidP="009E0A31">
            <w:pPr>
              <w:spacing w:line="240" w:lineRule="auto"/>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9E0A31">
              <w:rPr>
                <w:rFonts w:cs="Arial"/>
                <w:sz w:val="20"/>
                <w:szCs w:val="20"/>
              </w:rPr>
              <w:t>Non-faculty committees reporting to TSB</w:t>
            </w:r>
          </w:p>
          <w:p w14:paraId="72D94C60" w14:textId="77777777" w:rsidR="003367C8" w:rsidRPr="009E0A31" w:rsidRDefault="003367C8" w:rsidP="009E0A31">
            <w:pPr>
              <w:pStyle w:val="ListParagraph"/>
              <w:numPr>
                <w:ilvl w:val="0"/>
                <w:numId w:val="12"/>
              </w:num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9E0A31">
              <w:rPr>
                <w:rFonts w:cs="Arial"/>
                <w:sz w:val="20"/>
                <w:szCs w:val="20"/>
              </w:rPr>
              <w:t>Business Law</w:t>
            </w:r>
          </w:p>
          <w:p w14:paraId="1553E1B5" w14:textId="77777777" w:rsidR="003367C8" w:rsidRPr="009E0A31" w:rsidRDefault="003367C8" w:rsidP="009E0A31">
            <w:pPr>
              <w:pStyle w:val="ListParagraph"/>
              <w:numPr>
                <w:ilvl w:val="0"/>
                <w:numId w:val="12"/>
              </w:num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9E0A31">
              <w:rPr>
                <w:rFonts w:cs="Arial"/>
                <w:sz w:val="20"/>
                <w:szCs w:val="20"/>
              </w:rPr>
              <w:t>Corporate Governance</w:t>
            </w:r>
          </w:p>
          <w:p w14:paraId="4E06A6B5" w14:textId="77777777" w:rsidR="003367C8" w:rsidRPr="009E0A31" w:rsidRDefault="003367C8" w:rsidP="009E0A31">
            <w:pPr>
              <w:pStyle w:val="ListParagraph"/>
              <w:numPr>
                <w:ilvl w:val="0"/>
                <w:numId w:val="12"/>
              </w:num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9E0A31">
              <w:rPr>
                <w:rFonts w:cs="Arial"/>
                <w:sz w:val="20"/>
                <w:szCs w:val="20"/>
              </w:rPr>
              <w:t>Ethics Standards</w:t>
            </w:r>
          </w:p>
          <w:p w14:paraId="6F007165" w14:textId="77777777" w:rsidR="003367C8" w:rsidRDefault="003367C8" w:rsidP="009E0A31">
            <w:pPr>
              <w:pStyle w:val="ListParagraph"/>
              <w:numPr>
                <w:ilvl w:val="0"/>
                <w:numId w:val="12"/>
              </w:num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9E0A31">
              <w:rPr>
                <w:rFonts w:cs="Arial"/>
                <w:sz w:val="20"/>
                <w:szCs w:val="20"/>
              </w:rPr>
              <w:t>Sustainability</w:t>
            </w:r>
          </w:p>
          <w:p w14:paraId="690CCE06" w14:textId="2B489CEA" w:rsidR="00162002" w:rsidRPr="009E0A31" w:rsidRDefault="00162002" w:rsidP="009E0A31">
            <w:pPr>
              <w:pStyle w:val="ListParagraph"/>
              <w:numPr>
                <w:ilvl w:val="0"/>
                <w:numId w:val="12"/>
              </w:num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Insolvency</w:t>
            </w:r>
          </w:p>
          <w:p w14:paraId="48BE3A9D" w14:textId="77777777" w:rsidR="003367C8" w:rsidRDefault="003367C8" w:rsidP="009E0A31">
            <w:pPr>
              <w:pStyle w:val="ListParagraph"/>
              <w:numPr>
                <w:ilvl w:val="0"/>
                <w:numId w:val="12"/>
              </w:num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9E0A31">
              <w:rPr>
                <w:rFonts w:cs="Arial"/>
                <w:sz w:val="20"/>
                <w:szCs w:val="20"/>
              </w:rPr>
              <w:t>Research Advisory Board</w:t>
            </w:r>
          </w:p>
          <w:p w14:paraId="3282E7F9" w14:textId="53613B3D" w:rsidR="00116277" w:rsidRPr="009E0A31" w:rsidRDefault="00EA5AD0" w:rsidP="009E0A31">
            <w:pPr>
              <w:pStyle w:val="ListParagraph"/>
              <w:numPr>
                <w:ilvl w:val="0"/>
                <w:numId w:val="12"/>
              </w:num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Public Sector Advisory Group </w:t>
            </w:r>
          </w:p>
        </w:tc>
        <w:tc>
          <w:tcPr>
            <w:tcW w:w="3402" w:type="dxa"/>
          </w:tcPr>
          <w:p w14:paraId="6B129D9B" w14:textId="77777777" w:rsidR="003367C8" w:rsidRDefault="003367C8" w:rsidP="009E0A31">
            <w:pPr>
              <w:spacing w:line="240" w:lineRule="auto"/>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9E0A31">
              <w:rPr>
                <w:rFonts w:cs="Arial"/>
                <w:sz w:val="20"/>
                <w:szCs w:val="20"/>
              </w:rPr>
              <w:t>National Technical Advisory Committee</w:t>
            </w:r>
          </w:p>
          <w:p w14:paraId="45A1C0B1" w14:textId="77777777" w:rsidR="00306638" w:rsidRDefault="00306638" w:rsidP="009E0A31">
            <w:pPr>
              <w:spacing w:line="240" w:lineRule="auto"/>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p>
          <w:p w14:paraId="4A698A66" w14:textId="092BC295" w:rsidR="00306638" w:rsidRPr="009E0A31" w:rsidRDefault="00306638" w:rsidP="009E0A31">
            <w:pPr>
              <w:spacing w:line="240" w:lineRule="auto"/>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3367C8" w:rsidRPr="003367C8" w14:paraId="5FBFE2BB" w14:textId="073AFB3C" w:rsidTr="008A1170">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BFBFBF" w:themeFill="background1" w:themeFillShade="BF"/>
          </w:tcPr>
          <w:p w14:paraId="7CC4F39A" w14:textId="1BBEEB6B" w:rsidR="003367C8" w:rsidRPr="009E0A31" w:rsidRDefault="003367C8" w:rsidP="009E0A31">
            <w:pPr>
              <w:spacing w:line="240" w:lineRule="auto"/>
              <w:contextualSpacing/>
              <w:rPr>
                <w:rFonts w:cs="Arial"/>
                <w:sz w:val="20"/>
                <w:szCs w:val="20"/>
              </w:rPr>
            </w:pPr>
            <w:r w:rsidRPr="009E0A31">
              <w:rPr>
                <w:rFonts w:cs="Arial"/>
                <w:sz w:val="20"/>
                <w:szCs w:val="20"/>
              </w:rPr>
              <w:t>Education &amp; Training</w:t>
            </w:r>
          </w:p>
        </w:tc>
      </w:tr>
      <w:tr w:rsidR="0053367E" w:rsidRPr="003367C8" w14:paraId="60A11F83" w14:textId="2AC24DBD" w:rsidTr="009E0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1C7D9C6" w14:textId="48C3BFDE" w:rsidR="0053367E" w:rsidRPr="009E0A31" w:rsidRDefault="0053367E" w:rsidP="009E0A31">
            <w:pPr>
              <w:spacing w:line="240" w:lineRule="auto"/>
              <w:contextualSpacing/>
              <w:rPr>
                <w:rFonts w:cs="Arial"/>
                <w:b w:val="0"/>
                <w:bCs w:val="0"/>
                <w:sz w:val="20"/>
                <w:szCs w:val="20"/>
              </w:rPr>
            </w:pPr>
            <w:r w:rsidRPr="009E0A31">
              <w:rPr>
                <w:rFonts w:cs="Arial"/>
                <w:sz w:val="20"/>
                <w:szCs w:val="20"/>
              </w:rPr>
              <w:t>Education &amp; Training Board</w:t>
            </w:r>
          </w:p>
        </w:tc>
        <w:tc>
          <w:tcPr>
            <w:tcW w:w="4111" w:type="dxa"/>
          </w:tcPr>
          <w:p w14:paraId="5A36824B" w14:textId="5C0F7CDC" w:rsidR="0053367E" w:rsidRPr="009E0A31" w:rsidRDefault="0053367E" w:rsidP="009E0A31">
            <w:pPr>
              <w:spacing w:line="240" w:lineRule="auto"/>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9E0A31">
              <w:rPr>
                <w:rFonts w:cs="Arial"/>
                <w:sz w:val="20"/>
                <w:szCs w:val="20"/>
              </w:rPr>
              <w:t>Assessment Committee</w:t>
            </w:r>
          </w:p>
        </w:tc>
        <w:tc>
          <w:tcPr>
            <w:tcW w:w="3402" w:type="dxa"/>
          </w:tcPr>
          <w:p w14:paraId="7B2D099F" w14:textId="586914D2" w:rsidR="0053367E" w:rsidRPr="009E0A31" w:rsidRDefault="00EA5AD0" w:rsidP="009E0A31">
            <w:pPr>
              <w:spacing w:line="240" w:lineRule="auto"/>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Student Society Committees</w:t>
            </w:r>
          </w:p>
        </w:tc>
      </w:tr>
      <w:tr w:rsidR="003367C8" w:rsidRPr="003367C8" w14:paraId="112CC739" w14:textId="09D72149" w:rsidTr="0029234E">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BFBFBF" w:themeFill="background1" w:themeFillShade="BF"/>
          </w:tcPr>
          <w:p w14:paraId="1D249F33" w14:textId="6C1DDB82" w:rsidR="003367C8" w:rsidRPr="009E0A31" w:rsidRDefault="003367C8" w:rsidP="009E0A31">
            <w:pPr>
              <w:spacing w:line="240" w:lineRule="auto"/>
              <w:contextualSpacing/>
              <w:rPr>
                <w:rFonts w:cs="Arial"/>
                <w:sz w:val="20"/>
                <w:szCs w:val="20"/>
              </w:rPr>
            </w:pPr>
            <w:r w:rsidRPr="009E0A31">
              <w:rPr>
                <w:rFonts w:cs="Arial"/>
                <w:sz w:val="20"/>
                <w:szCs w:val="20"/>
              </w:rPr>
              <w:t>Belonging &amp; Supporting</w:t>
            </w:r>
          </w:p>
        </w:tc>
      </w:tr>
      <w:tr w:rsidR="003367C8" w:rsidRPr="003367C8" w14:paraId="45B6CFE5" w14:textId="20FC2B6A" w:rsidTr="00494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20DE3609" w14:textId="5F10A728" w:rsidR="003367C8" w:rsidRPr="009E0A31" w:rsidRDefault="003367C8" w:rsidP="009E0A31">
            <w:pPr>
              <w:spacing w:line="240" w:lineRule="auto"/>
              <w:contextualSpacing/>
              <w:rPr>
                <w:rFonts w:cs="Arial"/>
                <w:b w:val="0"/>
                <w:bCs w:val="0"/>
                <w:sz w:val="20"/>
                <w:szCs w:val="20"/>
              </w:rPr>
            </w:pPr>
            <w:r w:rsidRPr="009E0A31">
              <w:rPr>
                <w:rFonts w:cs="Arial"/>
                <w:sz w:val="20"/>
                <w:szCs w:val="20"/>
              </w:rPr>
              <w:t>ICAEW Members &amp; Commercial Board</w:t>
            </w:r>
          </w:p>
        </w:tc>
        <w:tc>
          <w:tcPr>
            <w:tcW w:w="4111" w:type="dxa"/>
          </w:tcPr>
          <w:p w14:paraId="1B997FE7" w14:textId="77777777" w:rsidR="003367C8" w:rsidRPr="009E0A31" w:rsidRDefault="003367C8" w:rsidP="009E0A31">
            <w:pPr>
              <w:spacing w:line="240" w:lineRule="auto"/>
              <w:contextualSpacing/>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9E0A31">
              <w:rPr>
                <w:rFonts w:cs="Arial"/>
                <w:sz w:val="20"/>
                <w:szCs w:val="20"/>
              </w:rPr>
              <w:t>Committees reporting to IMCB:</w:t>
            </w:r>
          </w:p>
          <w:p w14:paraId="6ACC8E8B" w14:textId="77777777" w:rsidR="003367C8" w:rsidRPr="009E0A31" w:rsidRDefault="003367C8" w:rsidP="003367C8">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9E0A31">
              <w:rPr>
                <w:rFonts w:cs="Arial"/>
                <w:sz w:val="20"/>
                <w:szCs w:val="20"/>
              </w:rPr>
              <w:t>Ethics Advisory</w:t>
            </w:r>
          </w:p>
          <w:p w14:paraId="44854B3B" w14:textId="77777777" w:rsidR="003367C8" w:rsidRPr="009E0A31" w:rsidRDefault="003367C8" w:rsidP="003367C8">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9E0A31">
              <w:rPr>
                <w:rFonts w:cs="Arial"/>
                <w:sz w:val="20"/>
                <w:szCs w:val="20"/>
              </w:rPr>
              <w:t>Practice Committee</w:t>
            </w:r>
          </w:p>
          <w:p w14:paraId="4F46947D" w14:textId="48A3DD17" w:rsidR="003367C8" w:rsidRPr="009E0A31" w:rsidRDefault="003367C8" w:rsidP="009E0A31">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9E0A31">
              <w:rPr>
                <w:rFonts w:cs="Arial"/>
                <w:sz w:val="20"/>
                <w:szCs w:val="20"/>
              </w:rPr>
              <w:t>Business Committee</w:t>
            </w:r>
          </w:p>
        </w:tc>
        <w:tc>
          <w:tcPr>
            <w:tcW w:w="3402" w:type="dxa"/>
          </w:tcPr>
          <w:p w14:paraId="0D0E3413" w14:textId="77777777" w:rsidR="003367C8" w:rsidRDefault="00413C2C" w:rsidP="00F759A6">
            <w:p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9E0A31">
              <w:rPr>
                <w:rFonts w:cs="Arial"/>
                <w:sz w:val="20"/>
                <w:szCs w:val="20"/>
              </w:rPr>
              <w:t>Support Members Steering Group</w:t>
            </w:r>
          </w:p>
          <w:p w14:paraId="4B097E0C" w14:textId="77777777" w:rsidR="00767ABC" w:rsidRDefault="00767ABC" w:rsidP="00F759A6">
            <w:p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051A4AB7" w14:textId="6BEF3B5C" w:rsidR="00767ABC" w:rsidRPr="00F759A6" w:rsidRDefault="00767ABC" w:rsidP="00F759A6">
            <w:p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International Advisory Groups </w:t>
            </w:r>
          </w:p>
        </w:tc>
      </w:tr>
      <w:tr w:rsidR="00413C2C" w:rsidRPr="003367C8" w14:paraId="1450FA09" w14:textId="213BFF54" w:rsidTr="004942EE">
        <w:trPr>
          <w:trHeight w:val="20"/>
        </w:trPr>
        <w:tc>
          <w:tcPr>
            <w:cnfStyle w:val="001000000000" w:firstRow="0" w:lastRow="0" w:firstColumn="1" w:lastColumn="0" w:oddVBand="0" w:evenVBand="0" w:oddHBand="0" w:evenHBand="0" w:firstRowFirstColumn="0" w:firstRowLastColumn="0" w:lastRowFirstColumn="0" w:lastRowLastColumn="0"/>
            <w:tcW w:w="1985" w:type="dxa"/>
            <w:vMerge/>
          </w:tcPr>
          <w:p w14:paraId="247FAA9C" w14:textId="77777777" w:rsidR="00413C2C" w:rsidRPr="009E0A31" w:rsidRDefault="00413C2C" w:rsidP="00413C2C">
            <w:pPr>
              <w:spacing w:line="240" w:lineRule="auto"/>
              <w:contextualSpacing/>
              <w:rPr>
                <w:rFonts w:cs="Arial"/>
                <w:b w:val="0"/>
                <w:bCs w:val="0"/>
                <w:sz w:val="20"/>
                <w:szCs w:val="20"/>
              </w:rPr>
            </w:pPr>
          </w:p>
        </w:tc>
        <w:tc>
          <w:tcPr>
            <w:tcW w:w="4111" w:type="dxa"/>
          </w:tcPr>
          <w:p w14:paraId="3575D621" w14:textId="15655349" w:rsidR="00413C2C" w:rsidRPr="009E0A31" w:rsidRDefault="00413C2C" w:rsidP="00413C2C">
            <w:pPr>
              <w:spacing w:line="240" w:lineRule="auto"/>
              <w:contextualSpacing/>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9E0A31">
              <w:rPr>
                <w:rFonts w:cs="Arial"/>
                <w:sz w:val="20"/>
                <w:szCs w:val="20"/>
              </w:rPr>
              <w:t>Community advisory groups:</w:t>
            </w:r>
          </w:p>
          <w:p w14:paraId="04A47FB7" w14:textId="77777777" w:rsidR="00413C2C" w:rsidRPr="009E0A31" w:rsidRDefault="00413C2C" w:rsidP="00413C2C">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Academia &amp; Education</w:t>
            </w:r>
          </w:p>
          <w:p w14:paraId="35C44D26" w14:textId="77777777" w:rsidR="00413C2C" w:rsidRPr="009E0A31" w:rsidRDefault="00413C2C" w:rsidP="00413C2C">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Charity</w:t>
            </w:r>
          </w:p>
          <w:p w14:paraId="46D07116" w14:textId="77777777" w:rsidR="00413C2C" w:rsidRPr="009E0A31" w:rsidRDefault="00413C2C" w:rsidP="00413C2C">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Construction &amp; Real Estate</w:t>
            </w:r>
          </w:p>
          <w:p w14:paraId="458F415E" w14:textId="6B38D602" w:rsidR="00413C2C" w:rsidRPr="009E0A31" w:rsidRDefault="00413C2C" w:rsidP="00413C2C">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Data Analy</w:t>
            </w:r>
            <w:r w:rsidR="00116277">
              <w:rPr>
                <w:rFonts w:cs="Arial"/>
                <w:sz w:val="20"/>
                <w:szCs w:val="20"/>
              </w:rPr>
              <w:t>tics</w:t>
            </w:r>
          </w:p>
          <w:p w14:paraId="23CB8DF7" w14:textId="77777777" w:rsidR="00413C2C" w:rsidRPr="009E0A31" w:rsidRDefault="00413C2C" w:rsidP="00413C2C">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Energy &amp; Natural Resources</w:t>
            </w:r>
          </w:p>
          <w:p w14:paraId="5311F5E6" w14:textId="77777777" w:rsidR="00413C2C" w:rsidRPr="009E0A31" w:rsidRDefault="00413C2C" w:rsidP="00413C2C">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Entertainment, Sport &amp; Media</w:t>
            </w:r>
          </w:p>
          <w:p w14:paraId="73136918" w14:textId="77777777" w:rsidR="00413C2C" w:rsidRPr="009E0A31" w:rsidRDefault="00413C2C" w:rsidP="00413C2C">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Excel</w:t>
            </w:r>
          </w:p>
          <w:p w14:paraId="4AB3B72D" w14:textId="77777777" w:rsidR="00413C2C" w:rsidRPr="009E0A31" w:rsidRDefault="00413C2C" w:rsidP="00413C2C">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Farming &amp; Rural Business</w:t>
            </w:r>
          </w:p>
          <w:p w14:paraId="6B87241E" w14:textId="77777777" w:rsidR="00413C2C" w:rsidRPr="009E0A31" w:rsidRDefault="00413C2C" w:rsidP="00413C2C">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Forensic &amp; Expert Witness</w:t>
            </w:r>
          </w:p>
          <w:p w14:paraId="3A818CE2" w14:textId="77777777" w:rsidR="00413C2C" w:rsidRPr="009E0A31" w:rsidRDefault="00413C2C" w:rsidP="00413C2C">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Global Trade</w:t>
            </w:r>
          </w:p>
          <w:p w14:paraId="170688DB" w14:textId="77777777" w:rsidR="00413C2C" w:rsidRPr="009E0A31" w:rsidRDefault="00413C2C" w:rsidP="00413C2C">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Healthcare</w:t>
            </w:r>
          </w:p>
          <w:p w14:paraId="70BCE95C" w14:textId="77777777" w:rsidR="00413C2C" w:rsidRPr="009E0A31" w:rsidRDefault="00413C2C" w:rsidP="00413C2C">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Internal Audit</w:t>
            </w:r>
          </w:p>
          <w:p w14:paraId="1A516A48" w14:textId="77777777" w:rsidR="00413C2C" w:rsidRPr="009E0A31" w:rsidRDefault="00413C2C" w:rsidP="00413C2C">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Manufacturing</w:t>
            </w:r>
          </w:p>
          <w:p w14:paraId="4067095F" w14:textId="77777777" w:rsidR="00413C2C" w:rsidRPr="009E0A31" w:rsidRDefault="00413C2C" w:rsidP="00413C2C">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Personal Financial Planning</w:t>
            </w:r>
          </w:p>
          <w:p w14:paraId="4BDF6AB6" w14:textId="77777777" w:rsidR="00413C2C" w:rsidRPr="009E0A31" w:rsidRDefault="00413C2C" w:rsidP="00413C2C">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Restructuring &amp; Insolvency</w:t>
            </w:r>
          </w:p>
          <w:p w14:paraId="550DA2DB" w14:textId="77777777" w:rsidR="00413C2C" w:rsidRPr="009E0A31" w:rsidRDefault="00413C2C" w:rsidP="00413C2C">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Retail</w:t>
            </w:r>
          </w:p>
          <w:p w14:paraId="072D8421" w14:textId="77777777" w:rsidR="00413C2C" w:rsidRPr="009E0A31" w:rsidRDefault="00413C2C" w:rsidP="00413C2C">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Small Practitioners</w:t>
            </w:r>
          </w:p>
          <w:p w14:paraId="78328DEC" w14:textId="77777777" w:rsidR="00413C2C" w:rsidRPr="009E0A31" w:rsidRDefault="00413C2C" w:rsidP="00413C2C">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Solicitors</w:t>
            </w:r>
          </w:p>
          <w:p w14:paraId="467B8FD2" w14:textId="77777777" w:rsidR="00413C2C" w:rsidRPr="009E0A31" w:rsidRDefault="00413C2C" w:rsidP="00413C2C">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E0A31">
              <w:rPr>
                <w:rFonts w:cs="Arial"/>
                <w:sz w:val="20"/>
                <w:szCs w:val="20"/>
              </w:rPr>
              <w:t>Travel, Tourism &amp; Hospitality</w:t>
            </w:r>
          </w:p>
          <w:p w14:paraId="54A405EB" w14:textId="65B13B95" w:rsidR="006F3F4C" w:rsidRPr="00767ABC" w:rsidRDefault="00413C2C" w:rsidP="00162002">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767ABC">
              <w:rPr>
                <w:rFonts w:cs="Arial"/>
                <w:sz w:val="20"/>
                <w:szCs w:val="20"/>
              </w:rPr>
              <w:t>Valuation</w:t>
            </w:r>
          </w:p>
          <w:p w14:paraId="50C0ED00" w14:textId="0D493326" w:rsidR="006F3F4C" w:rsidRPr="00162002" w:rsidRDefault="006F3F4C" w:rsidP="00162002">
            <w:pPr>
              <w:spacing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402" w:type="dxa"/>
          </w:tcPr>
          <w:p w14:paraId="15BEED72" w14:textId="34347E74" w:rsidR="00413C2C" w:rsidRPr="009E0A31" w:rsidRDefault="00413C2C" w:rsidP="00413C2C">
            <w:pPr>
              <w:spacing w:line="240" w:lineRule="auto"/>
              <w:contextualSpacing/>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79700F97" w14:textId="77777777" w:rsidR="00767ABC" w:rsidRDefault="00767ABC">
      <w:r>
        <w:rPr>
          <w:b/>
          <w:bCs/>
        </w:rPr>
        <w:br w:type="page"/>
      </w:r>
    </w:p>
    <w:tbl>
      <w:tblPr>
        <w:tblStyle w:val="GridTable2-Accent1"/>
        <w:tblW w:w="9498" w:type="dxa"/>
        <w:tblLook w:val="04A0" w:firstRow="1" w:lastRow="0" w:firstColumn="1" w:lastColumn="0" w:noHBand="0" w:noVBand="1"/>
      </w:tblPr>
      <w:tblGrid>
        <w:gridCol w:w="1985"/>
        <w:gridCol w:w="4111"/>
        <w:gridCol w:w="3402"/>
      </w:tblGrid>
      <w:tr w:rsidR="00413C2C" w:rsidRPr="003367C8" w14:paraId="0B389118" w14:textId="58A7DD2B" w:rsidTr="004942E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tcPr>
          <w:p w14:paraId="2C5A9BAB" w14:textId="54EF3FD1" w:rsidR="00413C2C" w:rsidRPr="009E0A31" w:rsidRDefault="00413C2C" w:rsidP="00413C2C">
            <w:pPr>
              <w:spacing w:line="240" w:lineRule="auto"/>
              <w:contextualSpacing/>
              <w:rPr>
                <w:rFonts w:cs="Arial"/>
                <w:b w:val="0"/>
                <w:bCs w:val="0"/>
                <w:sz w:val="20"/>
                <w:szCs w:val="20"/>
              </w:rPr>
            </w:pPr>
          </w:p>
        </w:tc>
        <w:tc>
          <w:tcPr>
            <w:tcW w:w="4111" w:type="dxa"/>
          </w:tcPr>
          <w:p w14:paraId="7B7BA24F" w14:textId="7E7702CC" w:rsidR="00413C2C" w:rsidRDefault="00413C2C" w:rsidP="00413C2C">
            <w:pPr>
              <w:spacing w:line="240" w:lineRule="auto"/>
              <w:contextualSpacing/>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Local </w:t>
            </w:r>
            <w:r w:rsidRPr="009E0A31">
              <w:rPr>
                <w:rFonts w:cs="Arial"/>
                <w:sz w:val="20"/>
                <w:szCs w:val="20"/>
              </w:rPr>
              <w:t>Network Boards</w:t>
            </w:r>
          </w:p>
          <w:p w14:paraId="71520C41"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Scotland</w:t>
            </w:r>
          </w:p>
          <w:p w14:paraId="73AD0CDA"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Northern</w:t>
            </w:r>
          </w:p>
          <w:p w14:paraId="50D3060C"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West &amp; North Yorkshire</w:t>
            </w:r>
          </w:p>
          <w:p w14:paraId="4A9BE821"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Sheffield</w:t>
            </w:r>
          </w:p>
          <w:p w14:paraId="5A2517CC"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Humber</w:t>
            </w:r>
          </w:p>
          <w:p w14:paraId="5C0ED6D5"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Northern Ireland</w:t>
            </w:r>
          </w:p>
          <w:p w14:paraId="40548E88"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Manchester</w:t>
            </w:r>
          </w:p>
          <w:p w14:paraId="06ECD97E"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Liverpool</w:t>
            </w:r>
          </w:p>
          <w:p w14:paraId="47606155"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Lancashire &amp; South Lakeland</w:t>
            </w:r>
          </w:p>
          <w:p w14:paraId="5782DA4F"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West Midlands</w:t>
            </w:r>
          </w:p>
          <w:p w14:paraId="51FE0022"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East Midlands</w:t>
            </w:r>
          </w:p>
          <w:p w14:paraId="185806B9"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South Wales</w:t>
            </w:r>
          </w:p>
          <w:p w14:paraId="0406B00B"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West of England</w:t>
            </w:r>
          </w:p>
          <w:p w14:paraId="0F9C3864"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South West</w:t>
            </w:r>
          </w:p>
          <w:p w14:paraId="772C161D"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South Central</w:t>
            </w:r>
          </w:p>
          <w:p w14:paraId="715942CE"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East Anglia</w:t>
            </w:r>
          </w:p>
          <w:p w14:paraId="0864C4D0"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Essex</w:t>
            </w:r>
          </w:p>
          <w:p w14:paraId="1CDF094D"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South London &amp; Surrey</w:t>
            </w:r>
          </w:p>
          <w:p w14:paraId="3374891E"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London *</w:t>
            </w:r>
          </w:p>
          <w:p w14:paraId="18BD1BF1" w14:textId="77777777" w:rsidR="006F3F4C" w:rsidRDefault="006F3F4C" w:rsidP="006F3F4C">
            <w:pP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ICAEW Channel Islands **</w:t>
            </w:r>
          </w:p>
          <w:p w14:paraId="2B12CC69" w14:textId="6290FD93" w:rsidR="006F3F4C" w:rsidRPr="009E0A31" w:rsidRDefault="006F3F4C" w:rsidP="00413C2C">
            <w:pPr>
              <w:spacing w:line="240" w:lineRule="auto"/>
              <w:contextualSpacing/>
              <w:cnfStyle w:val="100000000000" w:firstRow="1" w:lastRow="0" w:firstColumn="0" w:lastColumn="0" w:oddVBand="0" w:evenVBand="0" w:oddHBand="0" w:evenHBand="0" w:firstRowFirstColumn="0" w:firstRowLastColumn="0" w:lastRowFirstColumn="0" w:lastRowLastColumn="0"/>
              <w:rPr>
                <w:rFonts w:cs="Arial"/>
                <w:sz w:val="20"/>
                <w:szCs w:val="20"/>
              </w:rPr>
            </w:pPr>
          </w:p>
        </w:tc>
        <w:tc>
          <w:tcPr>
            <w:tcW w:w="3402" w:type="dxa"/>
          </w:tcPr>
          <w:p w14:paraId="3ADCA1A6" w14:textId="3F47B7E9" w:rsidR="00413C2C" w:rsidRPr="009E0A31" w:rsidRDefault="00413C2C" w:rsidP="00413C2C">
            <w:pPr>
              <w:spacing w:line="240" w:lineRule="auto"/>
              <w:contextualSpacing/>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District Society Boards and Committees</w:t>
            </w:r>
            <w:r w:rsidRPr="009E0A31">
              <w:rPr>
                <w:rStyle w:val="FootnoteReference"/>
                <w:rFonts w:cs="Arial"/>
                <w:sz w:val="20"/>
                <w:szCs w:val="20"/>
              </w:rPr>
              <w:footnoteReference w:id="2"/>
            </w:r>
          </w:p>
        </w:tc>
      </w:tr>
    </w:tbl>
    <w:p w14:paraId="2C1719CA" w14:textId="26D00579" w:rsidR="00BA7553" w:rsidRDefault="00BA7553" w:rsidP="00926A16">
      <w:pPr>
        <w:pStyle w:val="BodyText"/>
        <w:spacing w:after="120"/>
      </w:pPr>
    </w:p>
    <w:sectPr w:rsidR="00BA7553" w:rsidSect="00E712C5">
      <w:type w:val="continuous"/>
      <w:pgSz w:w="11909" w:h="16834" w:code="9"/>
      <w:pgMar w:top="1134" w:right="1134" w:bottom="1134" w:left="1134" w:header="284"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F794" w14:textId="77777777" w:rsidR="00E4293C" w:rsidRDefault="00E4293C">
      <w:r>
        <w:separator/>
      </w:r>
    </w:p>
  </w:endnote>
  <w:endnote w:type="continuationSeparator" w:id="0">
    <w:p w14:paraId="19E57EC5" w14:textId="77777777" w:rsidR="00E4293C" w:rsidRDefault="00E4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611248"/>
      <w:docPartObj>
        <w:docPartGallery w:val="Page Numbers (Bottom of Page)"/>
        <w:docPartUnique/>
      </w:docPartObj>
    </w:sdtPr>
    <w:sdtEndPr>
      <w:rPr>
        <w:noProof/>
      </w:rPr>
    </w:sdtEndPr>
    <w:sdtContent>
      <w:p w14:paraId="5A35A8D1" w14:textId="4D5938A4" w:rsidR="00486DC0" w:rsidRDefault="00486D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B6F634" w14:textId="77777777" w:rsidR="00486DC0" w:rsidRDefault="00486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040653"/>
      <w:docPartObj>
        <w:docPartGallery w:val="Page Numbers (Bottom of Page)"/>
        <w:docPartUnique/>
      </w:docPartObj>
    </w:sdtPr>
    <w:sdtEndPr>
      <w:rPr>
        <w:noProof/>
      </w:rPr>
    </w:sdtEndPr>
    <w:sdtContent>
      <w:p w14:paraId="2D4C5752" w14:textId="322CE053" w:rsidR="008970B6" w:rsidRDefault="008970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9C50E9" w14:textId="77777777" w:rsidR="008970B6" w:rsidRDefault="00897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0C12" w14:textId="77777777" w:rsidR="00E4293C" w:rsidRDefault="00E4293C">
      <w:r>
        <w:separator/>
      </w:r>
    </w:p>
  </w:footnote>
  <w:footnote w:type="continuationSeparator" w:id="0">
    <w:p w14:paraId="13961B19" w14:textId="77777777" w:rsidR="00E4293C" w:rsidRDefault="00E4293C">
      <w:r>
        <w:continuationSeparator/>
      </w:r>
    </w:p>
  </w:footnote>
  <w:footnote w:id="1">
    <w:p w14:paraId="1DAA7D73" w14:textId="147E8EE7" w:rsidR="00E712C5" w:rsidRDefault="00E712C5">
      <w:pPr>
        <w:pStyle w:val="FootnoteText"/>
      </w:pPr>
      <w:r>
        <w:rPr>
          <w:rStyle w:val="FootnoteReference"/>
        </w:rPr>
        <w:footnoteRef/>
      </w:r>
      <w:r>
        <w:t xml:space="preserve"> Any ICAEW committees or working groups not listed are considered out of scope of VNC.</w:t>
      </w:r>
    </w:p>
  </w:footnote>
  <w:footnote w:id="2">
    <w:p w14:paraId="3D674661" w14:textId="151C467D" w:rsidR="00413C2C" w:rsidRPr="001165A5" w:rsidRDefault="00413C2C" w:rsidP="00413C2C">
      <w:pPr>
        <w:pStyle w:val="FootnoteText"/>
        <w:rPr>
          <w:sz w:val="22"/>
          <w:szCs w:val="22"/>
        </w:rPr>
      </w:pPr>
      <w:r>
        <w:rPr>
          <w:rStyle w:val="FootnoteReference"/>
        </w:rPr>
        <w:footnoteRef/>
      </w:r>
      <w:r>
        <w:t xml:space="preserve"> </w:t>
      </w:r>
      <w:r w:rsidRPr="009E0A31">
        <w:t>Appointments to District Society Boards and District Society Committees are made by the District Socie</w:t>
      </w:r>
      <w:r>
        <w:t>t</w:t>
      </w:r>
      <w:r w:rsidRPr="009E0A31">
        <w:t xml:space="preserve">ies and ICAEW has no input to these decisions.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8FBE" w14:textId="77E32FAC" w:rsidR="00486DC0" w:rsidRDefault="00E712C5">
    <w:pPr>
      <w:pStyle w:val="Header"/>
    </w:pPr>
    <w:r>
      <w:rPr>
        <w:noProof/>
        <w:lang w:eastAsia="zh-TW"/>
      </w:rPr>
      <w:drawing>
        <wp:anchor distT="0" distB="0" distL="114300" distR="114300" simplePos="0" relativeHeight="251661312" behindDoc="0" locked="0" layoutInCell="1" allowOverlap="1" wp14:anchorId="61A8CB00" wp14:editId="419EFC83">
          <wp:simplePos x="0" y="0"/>
          <wp:positionH relativeFrom="column">
            <wp:posOffset>5280660</wp:posOffset>
          </wp:positionH>
          <wp:positionV relativeFrom="paragraph">
            <wp:posOffset>167005</wp:posOffset>
          </wp:positionV>
          <wp:extent cx="786240" cy="1260000"/>
          <wp:effectExtent l="0" t="0" r="0" b="0"/>
          <wp:wrapNone/>
          <wp:docPr id="857851203" name="Picture 857851203"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6DC0">
      <w:rPr>
        <w:noProof/>
      </w:rPr>
      <w:drawing>
        <wp:anchor distT="0" distB="0" distL="114300" distR="114300" simplePos="0" relativeHeight="251659264" behindDoc="1" locked="0" layoutInCell="1" allowOverlap="1" wp14:anchorId="0F34BD4C" wp14:editId="58361C60">
          <wp:simplePos x="0" y="0"/>
          <wp:positionH relativeFrom="page">
            <wp:posOffset>8958156</wp:posOffset>
          </wp:positionH>
          <wp:positionV relativeFrom="page">
            <wp:posOffset>492972</wp:posOffset>
          </wp:positionV>
          <wp:extent cx="765720" cy="1260000"/>
          <wp:effectExtent l="0" t="0" r="0" b="0"/>
          <wp:wrapNone/>
          <wp:docPr id="1591267843" name="Picture 159126784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6572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C1C"/>
    <w:multiLevelType w:val="hybridMultilevel"/>
    <w:tmpl w:val="C5D0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B44A5"/>
    <w:multiLevelType w:val="hybridMultilevel"/>
    <w:tmpl w:val="58B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A3DD7"/>
    <w:multiLevelType w:val="hybridMultilevel"/>
    <w:tmpl w:val="6B5E8C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B44DA8"/>
    <w:multiLevelType w:val="hybridMultilevel"/>
    <w:tmpl w:val="A3C2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E6D68"/>
    <w:multiLevelType w:val="hybridMultilevel"/>
    <w:tmpl w:val="F618961C"/>
    <w:lvl w:ilvl="0" w:tplc="FFFFFFFF">
      <w:start w:val="1"/>
      <w:numFmt w:val="decimal"/>
      <w:lvlText w:val="%1."/>
      <w:lvlJc w:val="left"/>
      <w:pPr>
        <w:ind w:left="501" w:hanging="360"/>
      </w:pPr>
    </w:lvl>
    <w:lvl w:ilvl="1" w:tplc="FFFFFFFF">
      <w:start w:val="1"/>
      <w:numFmt w:val="lowerLetter"/>
      <w:lvlText w:val="%2."/>
      <w:lvlJc w:val="left"/>
      <w:pPr>
        <w:ind w:left="1211" w:hanging="360"/>
      </w:pPr>
    </w:lvl>
    <w:lvl w:ilvl="2" w:tplc="FFFFFFFF">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7" w15:restartNumberingAfterBreak="0">
    <w:nsid w:val="285B733E"/>
    <w:multiLevelType w:val="hybridMultilevel"/>
    <w:tmpl w:val="23B6808E"/>
    <w:lvl w:ilvl="0" w:tplc="FFFFFFFF">
      <w:start w:val="4"/>
      <w:numFmt w:val="decimal"/>
      <w:lvlText w:val="%1."/>
      <w:lvlJc w:val="left"/>
      <w:pPr>
        <w:ind w:left="50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621D0D"/>
    <w:multiLevelType w:val="hybridMultilevel"/>
    <w:tmpl w:val="76145F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5E5C3F"/>
    <w:multiLevelType w:val="hybridMultilevel"/>
    <w:tmpl w:val="506E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BA4664"/>
    <w:multiLevelType w:val="hybridMultilevel"/>
    <w:tmpl w:val="5DE4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275F59"/>
    <w:multiLevelType w:val="hybridMultilevel"/>
    <w:tmpl w:val="23B6808E"/>
    <w:lvl w:ilvl="0" w:tplc="3500AF3C">
      <w:start w:val="4"/>
      <w:numFmt w:val="decimal"/>
      <w:lvlText w:val="%1."/>
      <w:lvlJc w:val="left"/>
      <w:pPr>
        <w:ind w:left="50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3D2C3F"/>
    <w:multiLevelType w:val="hybridMultilevel"/>
    <w:tmpl w:val="6A4C7B26"/>
    <w:lvl w:ilvl="0" w:tplc="FA54244A">
      <w:start w:val="1"/>
      <w:numFmt w:val="bullet"/>
      <w:lvlText w:val=""/>
      <w:lvlJc w:val="left"/>
      <w:pPr>
        <w:ind w:left="720" w:hanging="360"/>
      </w:pPr>
      <w:rPr>
        <w:rFonts w:ascii="Symbol" w:hAnsi="Symbol"/>
      </w:rPr>
    </w:lvl>
    <w:lvl w:ilvl="1" w:tplc="A1607698">
      <w:start w:val="1"/>
      <w:numFmt w:val="bullet"/>
      <w:lvlText w:val=""/>
      <w:lvlJc w:val="left"/>
      <w:pPr>
        <w:ind w:left="720" w:hanging="360"/>
      </w:pPr>
      <w:rPr>
        <w:rFonts w:ascii="Symbol" w:hAnsi="Symbol"/>
      </w:rPr>
    </w:lvl>
    <w:lvl w:ilvl="2" w:tplc="179E64A6">
      <w:start w:val="1"/>
      <w:numFmt w:val="bullet"/>
      <w:lvlText w:val=""/>
      <w:lvlJc w:val="left"/>
      <w:pPr>
        <w:ind w:left="720" w:hanging="360"/>
      </w:pPr>
      <w:rPr>
        <w:rFonts w:ascii="Symbol" w:hAnsi="Symbol"/>
      </w:rPr>
    </w:lvl>
    <w:lvl w:ilvl="3" w:tplc="CC0A5878">
      <w:start w:val="1"/>
      <w:numFmt w:val="bullet"/>
      <w:lvlText w:val=""/>
      <w:lvlJc w:val="left"/>
      <w:pPr>
        <w:ind w:left="720" w:hanging="360"/>
      </w:pPr>
      <w:rPr>
        <w:rFonts w:ascii="Symbol" w:hAnsi="Symbol"/>
      </w:rPr>
    </w:lvl>
    <w:lvl w:ilvl="4" w:tplc="8ED62686">
      <w:start w:val="1"/>
      <w:numFmt w:val="bullet"/>
      <w:lvlText w:val=""/>
      <w:lvlJc w:val="left"/>
      <w:pPr>
        <w:ind w:left="720" w:hanging="360"/>
      </w:pPr>
      <w:rPr>
        <w:rFonts w:ascii="Symbol" w:hAnsi="Symbol"/>
      </w:rPr>
    </w:lvl>
    <w:lvl w:ilvl="5" w:tplc="3E908660">
      <w:start w:val="1"/>
      <w:numFmt w:val="bullet"/>
      <w:lvlText w:val=""/>
      <w:lvlJc w:val="left"/>
      <w:pPr>
        <w:ind w:left="720" w:hanging="360"/>
      </w:pPr>
      <w:rPr>
        <w:rFonts w:ascii="Symbol" w:hAnsi="Symbol"/>
      </w:rPr>
    </w:lvl>
    <w:lvl w:ilvl="6" w:tplc="B8F0633A">
      <w:start w:val="1"/>
      <w:numFmt w:val="bullet"/>
      <w:lvlText w:val=""/>
      <w:lvlJc w:val="left"/>
      <w:pPr>
        <w:ind w:left="720" w:hanging="360"/>
      </w:pPr>
      <w:rPr>
        <w:rFonts w:ascii="Symbol" w:hAnsi="Symbol"/>
      </w:rPr>
    </w:lvl>
    <w:lvl w:ilvl="7" w:tplc="36DAAF42">
      <w:start w:val="1"/>
      <w:numFmt w:val="bullet"/>
      <w:lvlText w:val=""/>
      <w:lvlJc w:val="left"/>
      <w:pPr>
        <w:ind w:left="720" w:hanging="360"/>
      </w:pPr>
      <w:rPr>
        <w:rFonts w:ascii="Symbol" w:hAnsi="Symbol"/>
      </w:rPr>
    </w:lvl>
    <w:lvl w:ilvl="8" w:tplc="0DD29B46">
      <w:start w:val="1"/>
      <w:numFmt w:val="bullet"/>
      <w:lvlText w:val=""/>
      <w:lvlJc w:val="left"/>
      <w:pPr>
        <w:ind w:left="720" w:hanging="360"/>
      </w:pPr>
      <w:rPr>
        <w:rFonts w:ascii="Symbol" w:hAnsi="Symbol"/>
      </w:rPr>
    </w:lvl>
  </w:abstractNum>
  <w:abstractNum w:abstractNumId="14" w15:restartNumberingAfterBreak="0">
    <w:nsid w:val="68D614E2"/>
    <w:multiLevelType w:val="hybridMultilevel"/>
    <w:tmpl w:val="AEBAC1DA"/>
    <w:lvl w:ilvl="0" w:tplc="0809000F">
      <w:start w:val="1"/>
      <w:numFmt w:val="decimal"/>
      <w:lvlText w:val="%1."/>
      <w:lvlJc w:val="left"/>
      <w:pPr>
        <w:ind w:left="501" w:hanging="360"/>
      </w:pPr>
    </w:lvl>
    <w:lvl w:ilvl="1" w:tplc="08090019">
      <w:start w:val="1"/>
      <w:numFmt w:val="lowerLetter"/>
      <w:lvlText w:val="%2."/>
      <w:lvlJc w:val="left"/>
      <w:pPr>
        <w:ind w:left="1211" w:hanging="360"/>
      </w:pPr>
    </w:lvl>
    <w:lvl w:ilvl="2" w:tplc="D5826262">
      <w:numFmt w:val="bullet"/>
      <w:lvlText w:val="•"/>
      <w:lvlJc w:val="left"/>
      <w:pPr>
        <w:ind w:left="2340" w:hanging="36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B74CA5"/>
    <w:multiLevelType w:val="hybridMultilevel"/>
    <w:tmpl w:val="18F0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17" w15:restartNumberingAfterBreak="0">
    <w:nsid w:val="790F76B1"/>
    <w:multiLevelType w:val="multilevel"/>
    <w:tmpl w:val="865E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120894">
    <w:abstractNumId w:val="6"/>
  </w:num>
  <w:num w:numId="2" w16cid:durableId="927495999">
    <w:abstractNumId w:val="9"/>
  </w:num>
  <w:num w:numId="3" w16cid:durableId="944534215">
    <w:abstractNumId w:val="5"/>
  </w:num>
  <w:num w:numId="4" w16cid:durableId="972976912">
    <w:abstractNumId w:val="16"/>
  </w:num>
  <w:num w:numId="5" w16cid:durableId="719323525">
    <w:abstractNumId w:val="14"/>
  </w:num>
  <w:num w:numId="6" w16cid:durableId="468941019">
    <w:abstractNumId w:val="13"/>
  </w:num>
  <w:num w:numId="7" w16cid:durableId="765686991">
    <w:abstractNumId w:val="17"/>
  </w:num>
  <w:num w:numId="8" w16cid:durableId="1156802387">
    <w:abstractNumId w:val="8"/>
  </w:num>
  <w:num w:numId="9" w16cid:durableId="94907864">
    <w:abstractNumId w:val="4"/>
  </w:num>
  <w:num w:numId="10" w16cid:durableId="585922663">
    <w:abstractNumId w:val="12"/>
  </w:num>
  <w:num w:numId="11" w16cid:durableId="1006253318">
    <w:abstractNumId w:val="15"/>
  </w:num>
  <w:num w:numId="12" w16cid:durableId="695158595">
    <w:abstractNumId w:val="3"/>
  </w:num>
  <w:num w:numId="13" w16cid:durableId="1469012442">
    <w:abstractNumId w:val="11"/>
  </w:num>
  <w:num w:numId="14" w16cid:durableId="2014455356">
    <w:abstractNumId w:val="0"/>
  </w:num>
  <w:num w:numId="15" w16cid:durableId="102573705">
    <w:abstractNumId w:val="1"/>
  </w:num>
  <w:num w:numId="16" w16cid:durableId="1345983346">
    <w:abstractNumId w:val="10"/>
  </w:num>
  <w:num w:numId="17" w16cid:durableId="1299644675">
    <w:abstractNumId w:val="2"/>
  </w:num>
  <w:num w:numId="18" w16cid:durableId="148813382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59"/>
    <w:rsid w:val="000030F8"/>
    <w:rsid w:val="0000593D"/>
    <w:rsid w:val="00011714"/>
    <w:rsid w:val="00016694"/>
    <w:rsid w:val="00017E54"/>
    <w:rsid w:val="0002207F"/>
    <w:rsid w:val="00022A49"/>
    <w:rsid w:val="00026928"/>
    <w:rsid w:val="00036B83"/>
    <w:rsid w:val="0004441E"/>
    <w:rsid w:val="00044F2A"/>
    <w:rsid w:val="000451D9"/>
    <w:rsid w:val="00045614"/>
    <w:rsid w:val="00046265"/>
    <w:rsid w:val="00046840"/>
    <w:rsid w:val="00047ED5"/>
    <w:rsid w:val="00055FB2"/>
    <w:rsid w:val="00060785"/>
    <w:rsid w:val="00061B0D"/>
    <w:rsid w:val="000665A5"/>
    <w:rsid w:val="00071206"/>
    <w:rsid w:val="000747FC"/>
    <w:rsid w:val="00074DA2"/>
    <w:rsid w:val="00081577"/>
    <w:rsid w:val="000923F3"/>
    <w:rsid w:val="00096107"/>
    <w:rsid w:val="00096FC2"/>
    <w:rsid w:val="000A24BC"/>
    <w:rsid w:val="000A6655"/>
    <w:rsid w:val="000B3744"/>
    <w:rsid w:val="000B6D78"/>
    <w:rsid w:val="000C37BA"/>
    <w:rsid w:val="000C5154"/>
    <w:rsid w:val="000D2860"/>
    <w:rsid w:val="000D353A"/>
    <w:rsid w:val="000D777B"/>
    <w:rsid w:val="000E21C5"/>
    <w:rsid w:val="000E5A72"/>
    <w:rsid w:val="000E738D"/>
    <w:rsid w:val="000F73A5"/>
    <w:rsid w:val="00100726"/>
    <w:rsid w:val="001017FA"/>
    <w:rsid w:val="00107C94"/>
    <w:rsid w:val="001138D4"/>
    <w:rsid w:val="00116277"/>
    <w:rsid w:val="00116848"/>
    <w:rsid w:val="00120C66"/>
    <w:rsid w:val="00121C59"/>
    <w:rsid w:val="00122D1C"/>
    <w:rsid w:val="00123D35"/>
    <w:rsid w:val="0012578D"/>
    <w:rsid w:val="00125AF8"/>
    <w:rsid w:val="00130559"/>
    <w:rsid w:val="00131D9D"/>
    <w:rsid w:val="00135EF5"/>
    <w:rsid w:val="00142C7B"/>
    <w:rsid w:val="0014394F"/>
    <w:rsid w:val="00152010"/>
    <w:rsid w:val="00162002"/>
    <w:rsid w:val="00170447"/>
    <w:rsid w:val="001725EC"/>
    <w:rsid w:val="0018529E"/>
    <w:rsid w:val="001859E0"/>
    <w:rsid w:val="00187CA8"/>
    <w:rsid w:val="00191962"/>
    <w:rsid w:val="0019285C"/>
    <w:rsid w:val="00195D66"/>
    <w:rsid w:val="00196302"/>
    <w:rsid w:val="001A3DD0"/>
    <w:rsid w:val="001A6365"/>
    <w:rsid w:val="001A6D7B"/>
    <w:rsid w:val="001B1995"/>
    <w:rsid w:val="001B32D3"/>
    <w:rsid w:val="001B381C"/>
    <w:rsid w:val="001D16DD"/>
    <w:rsid w:val="001D2437"/>
    <w:rsid w:val="001D4A17"/>
    <w:rsid w:val="001F0156"/>
    <w:rsid w:val="001F01F5"/>
    <w:rsid w:val="002043BD"/>
    <w:rsid w:val="00227B30"/>
    <w:rsid w:val="00227EF3"/>
    <w:rsid w:val="00231332"/>
    <w:rsid w:val="0023202B"/>
    <w:rsid w:val="00236AF1"/>
    <w:rsid w:val="002543E5"/>
    <w:rsid w:val="00262519"/>
    <w:rsid w:val="00266693"/>
    <w:rsid w:val="002673B6"/>
    <w:rsid w:val="00270CC3"/>
    <w:rsid w:val="0027179D"/>
    <w:rsid w:val="00274DF6"/>
    <w:rsid w:val="00275B02"/>
    <w:rsid w:val="002A3106"/>
    <w:rsid w:val="002B04A6"/>
    <w:rsid w:val="002B3ACC"/>
    <w:rsid w:val="002B72FC"/>
    <w:rsid w:val="002C6D24"/>
    <w:rsid w:val="002D2A2D"/>
    <w:rsid w:val="002D77F5"/>
    <w:rsid w:val="002E7C30"/>
    <w:rsid w:val="002F2A7F"/>
    <w:rsid w:val="002F4347"/>
    <w:rsid w:val="002F54B6"/>
    <w:rsid w:val="002F5871"/>
    <w:rsid w:val="00301A7F"/>
    <w:rsid w:val="003029A9"/>
    <w:rsid w:val="00306638"/>
    <w:rsid w:val="00306A17"/>
    <w:rsid w:val="00313D93"/>
    <w:rsid w:val="00322535"/>
    <w:rsid w:val="00336500"/>
    <w:rsid w:val="003367C8"/>
    <w:rsid w:val="00351EE2"/>
    <w:rsid w:val="00371A42"/>
    <w:rsid w:val="003756B5"/>
    <w:rsid w:val="00375790"/>
    <w:rsid w:val="00376F27"/>
    <w:rsid w:val="00380268"/>
    <w:rsid w:val="00381D65"/>
    <w:rsid w:val="00382B7B"/>
    <w:rsid w:val="00386C83"/>
    <w:rsid w:val="0039400A"/>
    <w:rsid w:val="00397FDB"/>
    <w:rsid w:val="003B183E"/>
    <w:rsid w:val="003B471B"/>
    <w:rsid w:val="003C4D3E"/>
    <w:rsid w:val="003D27B7"/>
    <w:rsid w:val="003E2BE0"/>
    <w:rsid w:val="003F7253"/>
    <w:rsid w:val="003F733A"/>
    <w:rsid w:val="00407059"/>
    <w:rsid w:val="004077FD"/>
    <w:rsid w:val="00413C2C"/>
    <w:rsid w:val="0042424F"/>
    <w:rsid w:val="00430E4E"/>
    <w:rsid w:val="00442A8D"/>
    <w:rsid w:val="00443D8F"/>
    <w:rsid w:val="0044559F"/>
    <w:rsid w:val="00455DE7"/>
    <w:rsid w:val="0046302A"/>
    <w:rsid w:val="004633EB"/>
    <w:rsid w:val="00464E48"/>
    <w:rsid w:val="00466A78"/>
    <w:rsid w:val="00486DC0"/>
    <w:rsid w:val="00491101"/>
    <w:rsid w:val="00494D4B"/>
    <w:rsid w:val="00495FAF"/>
    <w:rsid w:val="00496BAA"/>
    <w:rsid w:val="004973AE"/>
    <w:rsid w:val="004A452F"/>
    <w:rsid w:val="004A5AA0"/>
    <w:rsid w:val="004A6E9D"/>
    <w:rsid w:val="004B3764"/>
    <w:rsid w:val="004B435A"/>
    <w:rsid w:val="004C2E67"/>
    <w:rsid w:val="004C5712"/>
    <w:rsid w:val="004C59F1"/>
    <w:rsid w:val="004C753F"/>
    <w:rsid w:val="004D30D6"/>
    <w:rsid w:val="004D6D19"/>
    <w:rsid w:val="004E05C4"/>
    <w:rsid w:val="004E21D0"/>
    <w:rsid w:val="004F2309"/>
    <w:rsid w:val="004F41DD"/>
    <w:rsid w:val="004F799E"/>
    <w:rsid w:val="004FF3B2"/>
    <w:rsid w:val="00501458"/>
    <w:rsid w:val="005049A8"/>
    <w:rsid w:val="00504D95"/>
    <w:rsid w:val="005105E7"/>
    <w:rsid w:val="00514A28"/>
    <w:rsid w:val="00515EEA"/>
    <w:rsid w:val="0052510B"/>
    <w:rsid w:val="00525E30"/>
    <w:rsid w:val="005279C7"/>
    <w:rsid w:val="00527BBC"/>
    <w:rsid w:val="0053367E"/>
    <w:rsid w:val="005459E1"/>
    <w:rsid w:val="0054793D"/>
    <w:rsid w:val="00553FA3"/>
    <w:rsid w:val="00560F6C"/>
    <w:rsid w:val="00561141"/>
    <w:rsid w:val="005617A0"/>
    <w:rsid w:val="005630D6"/>
    <w:rsid w:val="0057083A"/>
    <w:rsid w:val="0057474C"/>
    <w:rsid w:val="005767B8"/>
    <w:rsid w:val="005806CD"/>
    <w:rsid w:val="005974C5"/>
    <w:rsid w:val="005A7BD7"/>
    <w:rsid w:val="005A7E6A"/>
    <w:rsid w:val="005B315E"/>
    <w:rsid w:val="005B4136"/>
    <w:rsid w:val="005B7F9C"/>
    <w:rsid w:val="005C0AF5"/>
    <w:rsid w:val="005D2263"/>
    <w:rsid w:val="005D7F1F"/>
    <w:rsid w:val="005E1C2F"/>
    <w:rsid w:val="005E2C23"/>
    <w:rsid w:val="005E76A8"/>
    <w:rsid w:val="005F7FAE"/>
    <w:rsid w:val="00600AB0"/>
    <w:rsid w:val="00602D54"/>
    <w:rsid w:val="00624874"/>
    <w:rsid w:val="006349A4"/>
    <w:rsid w:val="00635029"/>
    <w:rsid w:val="00653210"/>
    <w:rsid w:val="006547A7"/>
    <w:rsid w:val="006669C4"/>
    <w:rsid w:val="00666A24"/>
    <w:rsid w:val="00671D5F"/>
    <w:rsid w:val="006823DB"/>
    <w:rsid w:val="006877D7"/>
    <w:rsid w:val="00690D6D"/>
    <w:rsid w:val="00692D4B"/>
    <w:rsid w:val="00696621"/>
    <w:rsid w:val="006A6639"/>
    <w:rsid w:val="006C36DB"/>
    <w:rsid w:val="006D3ED7"/>
    <w:rsid w:val="006D47AA"/>
    <w:rsid w:val="006D74F6"/>
    <w:rsid w:val="006E1E6D"/>
    <w:rsid w:val="006E3BC3"/>
    <w:rsid w:val="006E7E0D"/>
    <w:rsid w:val="006F15A4"/>
    <w:rsid w:val="006F1F36"/>
    <w:rsid w:val="006F3F4C"/>
    <w:rsid w:val="006F6EF8"/>
    <w:rsid w:val="00706FD2"/>
    <w:rsid w:val="00707E63"/>
    <w:rsid w:val="00711119"/>
    <w:rsid w:val="00712EE6"/>
    <w:rsid w:val="007134EC"/>
    <w:rsid w:val="007252B9"/>
    <w:rsid w:val="00745D26"/>
    <w:rsid w:val="00753021"/>
    <w:rsid w:val="00756C0F"/>
    <w:rsid w:val="00757A3C"/>
    <w:rsid w:val="00767ABC"/>
    <w:rsid w:val="00772BFB"/>
    <w:rsid w:val="007869A1"/>
    <w:rsid w:val="007B37DD"/>
    <w:rsid w:val="007B43B0"/>
    <w:rsid w:val="007C7F52"/>
    <w:rsid w:val="007D02FF"/>
    <w:rsid w:val="007D5BEC"/>
    <w:rsid w:val="007E00AA"/>
    <w:rsid w:val="007E5B57"/>
    <w:rsid w:val="007F0E3D"/>
    <w:rsid w:val="008040FB"/>
    <w:rsid w:val="00814B30"/>
    <w:rsid w:val="008218EB"/>
    <w:rsid w:val="00826C2C"/>
    <w:rsid w:val="00835B22"/>
    <w:rsid w:val="00843A8C"/>
    <w:rsid w:val="0086003C"/>
    <w:rsid w:val="0086056D"/>
    <w:rsid w:val="00862066"/>
    <w:rsid w:val="00873EDA"/>
    <w:rsid w:val="00877929"/>
    <w:rsid w:val="00880DF2"/>
    <w:rsid w:val="00881544"/>
    <w:rsid w:val="00894D88"/>
    <w:rsid w:val="008970B6"/>
    <w:rsid w:val="008A4648"/>
    <w:rsid w:val="008B470D"/>
    <w:rsid w:val="008C2FB0"/>
    <w:rsid w:val="008C4A73"/>
    <w:rsid w:val="008C6403"/>
    <w:rsid w:val="008D1818"/>
    <w:rsid w:val="008D189F"/>
    <w:rsid w:val="008D21EA"/>
    <w:rsid w:val="008D252D"/>
    <w:rsid w:val="008D6BDF"/>
    <w:rsid w:val="008D7527"/>
    <w:rsid w:val="008E0C43"/>
    <w:rsid w:val="008E5B31"/>
    <w:rsid w:val="008E72F4"/>
    <w:rsid w:val="008F1508"/>
    <w:rsid w:val="0092524A"/>
    <w:rsid w:val="00926A16"/>
    <w:rsid w:val="0094067D"/>
    <w:rsid w:val="009454AA"/>
    <w:rsid w:val="00946C98"/>
    <w:rsid w:val="009533A0"/>
    <w:rsid w:val="0096735F"/>
    <w:rsid w:val="00967411"/>
    <w:rsid w:val="00974594"/>
    <w:rsid w:val="009759B7"/>
    <w:rsid w:val="00977180"/>
    <w:rsid w:val="0098049C"/>
    <w:rsid w:val="00983753"/>
    <w:rsid w:val="009865F8"/>
    <w:rsid w:val="00987ED9"/>
    <w:rsid w:val="00992681"/>
    <w:rsid w:val="00994736"/>
    <w:rsid w:val="009969D1"/>
    <w:rsid w:val="009B187B"/>
    <w:rsid w:val="009C40A5"/>
    <w:rsid w:val="009D0157"/>
    <w:rsid w:val="009D0454"/>
    <w:rsid w:val="009D15F3"/>
    <w:rsid w:val="009D4FC8"/>
    <w:rsid w:val="009D50FD"/>
    <w:rsid w:val="009D5DAF"/>
    <w:rsid w:val="009E0A31"/>
    <w:rsid w:val="009E0BD0"/>
    <w:rsid w:val="009E51C1"/>
    <w:rsid w:val="009F1613"/>
    <w:rsid w:val="009F3442"/>
    <w:rsid w:val="009F7766"/>
    <w:rsid w:val="00A0012D"/>
    <w:rsid w:val="00A028B6"/>
    <w:rsid w:val="00A04A4A"/>
    <w:rsid w:val="00A07054"/>
    <w:rsid w:val="00A1185D"/>
    <w:rsid w:val="00A13645"/>
    <w:rsid w:val="00A32E1B"/>
    <w:rsid w:val="00A428AC"/>
    <w:rsid w:val="00A574DD"/>
    <w:rsid w:val="00A57C9F"/>
    <w:rsid w:val="00A66E7D"/>
    <w:rsid w:val="00A7291F"/>
    <w:rsid w:val="00A7500C"/>
    <w:rsid w:val="00A80755"/>
    <w:rsid w:val="00A80955"/>
    <w:rsid w:val="00A814AF"/>
    <w:rsid w:val="00A828F0"/>
    <w:rsid w:val="00A875F2"/>
    <w:rsid w:val="00A95004"/>
    <w:rsid w:val="00A95355"/>
    <w:rsid w:val="00A96947"/>
    <w:rsid w:val="00AB2F5C"/>
    <w:rsid w:val="00AB4D8B"/>
    <w:rsid w:val="00AD24A4"/>
    <w:rsid w:val="00AD4ED3"/>
    <w:rsid w:val="00AD6C42"/>
    <w:rsid w:val="00AF4A0D"/>
    <w:rsid w:val="00B03BD7"/>
    <w:rsid w:val="00B06F94"/>
    <w:rsid w:val="00B1488D"/>
    <w:rsid w:val="00B22F3D"/>
    <w:rsid w:val="00B25283"/>
    <w:rsid w:val="00B2639B"/>
    <w:rsid w:val="00B2678F"/>
    <w:rsid w:val="00B33D59"/>
    <w:rsid w:val="00B446CF"/>
    <w:rsid w:val="00B53EF6"/>
    <w:rsid w:val="00B60C4C"/>
    <w:rsid w:val="00B63F3A"/>
    <w:rsid w:val="00B64B22"/>
    <w:rsid w:val="00B74B51"/>
    <w:rsid w:val="00B84DB6"/>
    <w:rsid w:val="00B91DB3"/>
    <w:rsid w:val="00B920DE"/>
    <w:rsid w:val="00BA7553"/>
    <w:rsid w:val="00BB04F6"/>
    <w:rsid w:val="00BB1DF4"/>
    <w:rsid w:val="00BB2BE9"/>
    <w:rsid w:val="00BC303F"/>
    <w:rsid w:val="00BC3EAD"/>
    <w:rsid w:val="00BC7A24"/>
    <w:rsid w:val="00BD3938"/>
    <w:rsid w:val="00BE1223"/>
    <w:rsid w:val="00BE140D"/>
    <w:rsid w:val="00BE4F27"/>
    <w:rsid w:val="00BE639E"/>
    <w:rsid w:val="00BE6A6B"/>
    <w:rsid w:val="00BF15B2"/>
    <w:rsid w:val="00BF77C3"/>
    <w:rsid w:val="00C01E89"/>
    <w:rsid w:val="00C04351"/>
    <w:rsid w:val="00C11997"/>
    <w:rsid w:val="00C225B9"/>
    <w:rsid w:val="00C24234"/>
    <w:rsid w:val="00C2430D"/>
    <w:rsid w:val="00C26B01"/>
    <w:rsid w:val="00C36776"/>
    <w:rsid w:val="00C4060E"/>
    <w:rsid w:val="00C44E9A"/>
    <w:rsid w:val="00C53111"/>
    <w:rsid w:val="00C55667"/>
    <w:rsid w:val="00C64456"/>
    <w:rsid w:val="00C64680"/>
    <w:rsid w:val="00C67404"/>
    <w:rsid w:val="00C7048D"/>
    <w:rsid w:val="00C735D9"/>
    <w:rsid w:val="00C77D83"/>
    <w:rsid w:val="00C77DA3"/>
    <w:rsid w:val="00C8195A"/>
    <w:rsid w:val="00C837C3"/>
    <w:rsid w:val="00C844B1"/>
    <w:rsid w:val="00C87E8D"/>
    <w:rsid w:val="00C90AC1"/>
    <w:rsid w:val="00C93B9C"/>
    <w:rsid w:val="00C94D19"/>
    <w:rsid w:val="00CC69AD"/>
    <w:rsid w:val="00CD13E4"/>
    <w:rsid w:val="00CD5131"/>
    <w:rsid w:val="00CD5DCF"/>
    <w:rsid w:val="00CE523B"/>
    <w:rsid w:val="00CE7C9B"/>
    <w:rsid w:val="00CF15D4"/>
    <w:rsid w:val="00D0057B"/>
    <w:rsid w:val="00D10BD3"/>
    <w:rsid w:val="00D2425D"/>
    <w:rsid w:val="00D321FE"/>
    <w:rsid w:val="00D353D0"/>
    <w:rsid w:val="00D359CF"/>
    <w:rsid w:val="00D45535"/>
    <w:rsid w:val="00D53A76"/>
    <w:rsid w:val="00D53BE4"/>
    <w:rsid w:val="00D57961"/>
    <w:rsid w:val="00D579CD"/>
    <w:rsid w:val="00D90AEE"/>
    <w:rsid w:val="00D9300C"/>
    <w:rsid w:val="00D94457"/>
    <w:rsid w:val="00DD5301"/>
    <w:rsid w:val="00DE2547"/>
    <w:rsid w:val="00DF1E69"/>
    <w:rsid w:val="00DF7EDF"/>
    <w:rsid w:val="00E10295"/>
    <w:rsid w:val="00E15DFD"/>
    <w:rsid w:val="00E4293C"/>
    <w:rsid w:val="00E447FC"/>
    <w:rsid w:val="00E60A96"/>
    <w:rsid w:val="00E641D8"/>
    <w:rsid w:val="00E712C5"/>
    <w:rsid w:val="00E951EB"/>
    <w:rsid w:val="00E97057"/>
    <w:rsid w:val="00EA5AD0"/>
    <w:rsid w:val="00EA6075"/>
    <w:rsid w:val="00EA78CC"/>
    <w:rsid w:val="00EC3A59"/>
    <w:rsid w:val="00EC4B79"/>
    <w:rsid w:val="00ED3D13"/>
    <w:rsid w:val="00EE2126"/>
    <w:rsid w:val="00EE6B2C"/>
    <w:rsid w:val="00EF421E"/>
    <w:rsid w:val="00EF7C74"/>
    <w:rsid w:val="00F019A3"/>
    <w:rsid w:val="00F04047"/>
    <w:rsid w:val="00F1102D"/>
    <w:rsid w:val="00F139B4"/>
    <w:rsid w:val="00F167B0"/>
    <w:rsid w:val="00F238CD"/>
    <w:rsid w:val="00F25B2D"/>
    <w:rsid w:val="00F30E8F"/>
    <w:rsid w:val="00F460B8"/>
    <w:rsid w:val="00F4732A"/>
    <w:rsid w:val="00F51095"/>
    <w:rsid w:val="00F53892"/>
    <w:rsid w:val="00F61A3A"/>
    <w:rsid w:val="00F637D3"/>
    <w:rsid w:val="00F759A6"/>
    <w:rsid w:val="00F8676C"/>
    <w:rsid w:val="00F87665"/>
    <w:rsid w:val="00FA0A9E"/>
    <w:rsid w:val="00FA5F67"/>
    <w:rsid w:val="00FB6C5E"/>
    <w:rsid w:val="00FB6D4A"/>
    <w:rsid w:val="00FB7667"/>
    <w:rsid w:val="00FD10C3"/>
    <w:rsid w:val="00FD13E0"/>
    <w:rsid w:val="00FD1A9B"/>
    <w:rsid w:val="00FE5760"/>
    <w:rsid w:val="00FF244C"/>
    <w:rsid w:val="021037A2"/>
    <w:rsid w:val="0C1E5D4F"/>
    <w:rsid w:val="0D710FC9"/>
    <w:rsid w:val="0EF38B63"/>
    <w:rsid w:val="1472C5D7"/>
    <w:rsid w:val="2CDB7082"/>
    <w:rsid w:val="301643DB"/>
    <w:rsid w:val="321084E2"/>
    <w:rsid w:val="32143EC1"/>
    <w:rsid w:val="33004604"/>
    <w:rsid w:val="33BC8C10"/>
    <w:rsid w:val="3993CBD8"/>
    <w:rsid w:val="39BAD866"/>
    <w:rsid w:val="3E234749"/>
    <w:rsid w:val="3E2C81A9"/>
    <w:rsid w:val="4BD38350"/>
    <w:rsid w:val="4EAF83F6"/>
    <w:rsid w:val="530282C7"/>
    <w:rsid w:val="5CABBE05"/>
    <w:rsid w:val="71170DD3"/>
    <w:rsid w:val="76110FE4"/>
    <w:rsid w:val="78CA0B5D"/>
    <w:rsid w:val="7FE56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17672"/>
  <w15:docId w15:val="{D61F7396-56B8-42C0-B2EF-D734A922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uiPriority="6"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C9B"/>
    <w:pPr>
      <w:spacing w:line="276" w:lineRule="auto"/>
    </w:pPr>
    <w:rPr>
      <w:rFonts w:ascii="Arial" w:hAnsi="Arial"/>
      <w:sz w:val="22"/>
      <w:szCs w:val="22"/>
    </w:rPr>
  </w:style>
  <w:style w:type="paragraph" w:styleId="Heading1">
    <w:name w:val="heading 1"/>
    <w:basedOn w:val="Normal"/>
    <w:next w:val="Normal"/>
    <w:link w:val="Heading1Char"/>
    <w:uiPriority w:val="2"/>
    <w:qFormat/>
    <w:rsid w:val="005A7BD7"/>
    <w:pPr>
      <w:outlineLvl w:val="0"/>
    </w:pPr>
    <w:rPr>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
      </w:numPr>
    </w:pPr>
  </w:style>
  <w:style w:type="paragraph" w:styleId="Footer">
    <w:name w:val="footer"/>
    <w:basedOn w:val="Normal"/>
    <w:link w:val="FooterChar"/>
    <w:uiPriority w:val="99"/>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B25283"/>
    <w:rPr>
      <w:rFonts w:ascii="Arial" w:hAnsi="Arial"/>
      <w:color w:val="0563C1"/>
      <w:sz w:val="22"/>
      <w:u w:val="none" w:color="CC0000"/>
    </w:rPr>
  </w:style>
  <w:style w:type="paragraph" w:styleId="ListNumber">
    <w:name w:val="List Number"/>
    <w:basedOn w:val="Normal"/>
    <w:uiPriority w:val="9"/>
    <w:qFormat/>
    <w:rsid w:val="00C53111"/>
    <w:pPr>
      <w:numPr>
        <w:numId w:val="4"/>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
      </w:numPr>
      <w:contextualSpacing/>
    </w:pPr>
  </w:style>
  <w:style w:type="paragraph" w:styleId="ListNumber3">
    <w:name w:val="List Number 3"/>
    <w:basedOn w:val="Normal"/>
    <w:uiPriority w:val="11"/>
    <w:qFormat/>
    <w:rsid w:val="00C53111"/>
    <w:pPr>
      <w:numPr>
        <w:ilvl w:val="2"/>
        <w:numId w:val="4"/>
      </w:numPr>
      <w:contextualSpacing/>
    </w:pPr>
  </w:style>
  <w:style w:type="paragraph" w:styleId="ListBullet">
    <w:name w:val="List Bullet"/>
    <w:basedOn w:val="Normal"/>
    <w:uiPriority w:val="6"/>
    <w:qFormat/>
    <w:rsid w:val="00C53111"/>
    <w:pPr>
      <w:numPr>
        <w:numId w:val="3"/>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2"/>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uiPriority w:val="99"/>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uiPriority w:val="2"/>
    <w:rsid w:val="005A7BD7"/>
    <w:rPr>
      <w:rFonts w:ascii="Arial" w:hAnsi="Arial"/>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FootnoteText">
    <w:name w:val="footnote text"/>
    <w:basedOn w:val="Normal"/>
    <w:link w:val="FootnoteTextChar"/>
    <w:uiPriority w:val="99"/>
    <w:semiHidden/>
    <w:unhideWhenUsed/>
    <w:rsid w:val="00407059"/>
    <w:pPr>
      <w:spacing w:line="240" w:lineRule="auto"/>
    </w:pPr>
    <w:rPr>
      <w:sz w:val="20"/>
      <w:szCs w:val="20"/>
    </w:rPr>
  </w:style>
  <w:style w:type="character" w:customStyle="1" w:styleId="FootnoteTextChar">
    <w:name w:val="Footnote Text Char"/>
    <w:basedOn w:val="DefaultParagraphFont"/>
    <w:link w:val="FootnoteText"/>
    <w:uiPriority w:val="99"/>
    <w:semiHidden/>
    <w:rsid w:val="00407059"/>
    <w:rPr>
      <w:rFonts w:ascii="Arial" w:hAnsi="Arial"/>
    </w:rPr>
  </w:style>
  <w:style w:type="character" w:styleId="FootnoteReference">
    <w:name w:val="footnote reference"/>
    <w:basedOn w:val="DefaultParagraphFont"/>
    <w:uiPriority w:val="99"/>
    <w:semiHidden/>
    <w:unhideWhenUsed/>
    <w:rsid w:val="00407059"/>
    <w:rPr>
      <w:vertAlign w:val="superscript"/>
    </w:rPr>
  </w:style>
  <w:style w:type="character" w:styleId="CommentReference">
    <w:name w:val="annotation reference"/>
    <w:basedOn w:val="DefaultParagraphFont"/>
    <w:semiHidden/>
    <w:unhideWhenUsed/>
    <w:rsid w:val="00061B0D"/>
    <w:rPr>
      <w:sz w:val="16"/>
      <w:szCs w:val="16"/>
    </w:rPr>
  </w:style>
  <w:style w:type="paragraph" w:styleId="CommentText">
    <w:name w:val="annotation text"/>
    <w:basedOn w:val="Normal"/>
    <w:link w:val="CommentTextChar"/>
    <w:unhideWhenUsed/>
    <w:rsid w:val="00061B0D"/>
    <w:pPr>
      <w:spacing w:line="240" w:lineRule="auto"/>
    </w:pPr>
    <w:rPr>
      <w:sz w:val="20"/>
      <w:szCs w:val="20"/>
    </w:rPr>
  </w:style>
  <w:style w:type="character" w:customStyle="1" w:styleId="CommentTextChar">
    <w:name w:val="Comment Text Char"/>
    <w:basedOn w:val="DefaultParagraphFont"/>
    <w:link w:val="CommentText"/>
    <w:rsid w:val="00061B0D"/>
    <w:rPr>
      <w:rFonts w:ascii="Arial" w:hAnsi="Arial"/>
    </w:rPr>
  </w:style>
  <w:style w:type="paragraph" w:styleId="CommentSubject">
    <w:name w:val="annotation subject"/>
    <w:basedOn w:val="CommentText"/>
    <w:next w:val="CommentText"/>
    <w:link w:val="CommentSubjectChar"/>
    <w:semiHidden/>
    <w:unhideWhenUsed/>
    <w:rsid w:val="00061B0D"/>
    <w:rPr>
      <w:b/>
      <w:bCs/>
    </w:rPr>
  </w:style>
  <w:style w:type="character" w:customStyle="1" w:styleId="CommentSubjectChar">
    <w:name w:val="Comment Subject Char"/>
    <w:basedOn w:val="CommentTextChar"/>
    <w:link w:val="CommentSubject"/>
    <w:semiHidden/>
    <w:rsid w:val="00061B0D"/>
    <w:rPr>
      <w:rFonts w:ascii="Arial" w:hAnsi="Arial"/>
      <w:b/>
      <w:bCs/>
    </w:rPr>
  </w:style>
  <w:style w:type="paragraph" w:styleId="ListParagraph">
    <w:name w:val="List Paragraph"/>
    <w:basedOn w:val="Normal"/>
    <w:qFormat/>
    <w:rsid w:val="00CE523B"/>
    <w:pPr>
      <w:ind w:left="720"/>
      <w:contextualSpacing/>
    </w:pPr>
  </w:style>
  <w:style w:type="paragraph" w:styleId="Revision">
    <w:name w:val="Revision"/>
    <w:hidden/>
    <w:uiPriority w:val="99"/>
    <w:semiHidden/>
    <w:rsid w:val="005F7FAE"/>
    <w:rPr>
      <w:rFonts w:ascii="Arial" w:hAnsi="Arial"/>
      <w:sz w:val="22"/>
      <w:szCs w:val="22"/>
    </w:rPr>
  </w:style>
  <w:style w:type="character" w:customStyle="1" w:styleId="cf01">
    <w:name w:val="cf01"/>
    <w:basedOn w:val="DefaultParagraphFont"/>
    <w:rsid w:val="00926A16"/>
    <w:rPr>
      <w:rFonts w:ascii="Segoe UI" w:hAnsi="Segoe UI" w:cs="Segoe UI" w:hint="default"/>
      <w:sz w:val="18"/>
      <w:szCs w:val="18"/>
    </w:rPr>
  </w:style>
  <w:style w:type="paragraph" w:customStyle="1" w:styleId="pf1">
    <w:name w:val="pf1"/>
    <w:basedOn w:val="Normal"/>
    <w:rsid w:val="00926A16"/>
    <w:pPr>
      <w:spacing w:before="100" w:beforeAutospacing="1" w:after="100" w:afterAutospacing="1" w:line="240" w:lineRule="auto"/>
    </w:pPr>
    <w:rPr>
      <w:rFonts w:ascii="Times New Roman" w:hAnsi="Times New Roman"/>
      <w:sz w:val="24"/>
      <w:szCs w:val="24"/>
    </w:rPr>
  </w:style>
  <w:style w:type="paragraph" w:customStyle="1" w:styleId="pf0">
    <w:name w:val="pf0"/>
    <w:basedOn w:val="Normal"/>
    <w:rsid w:val="00926A16"/>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FB6D4A"/>
  </w:style>
  <w:style w:type="character" w:customStyle="1" w:styleId="eop">
    <w:name w:val="eop"/>
    <w:basedOn w:val="DefaultParagraphFont"/>
    <w:rsid w:val="00FB6D4A"/>
  </w:style>
  <w:style w:type="table" w:styleId="GridTable2-Accent1">
    <w:name w:val="Grid Table 2 Accent 1"/>
    <w:basedOn w:val="TableNormal"/>
    <w:uiPriority w:val="47"/>
    <w:rsid w:val="006877D7"/>
    <w:rPr>
      <w:rFonts w:ascii="Arial" w:eastAsiaTheme="minorHAnsi" w:hAnsi="Arial" w:cstheme="minorBidi"/>
      <w:kern w:val="2"/>
      <w:sz w:val="22"/>
      <w:szCs w:val="22"/>
      <w:lang w:eastAsia="en-US"/>
      <w14:ligatures w14:val="standardContextual"/>
    </w:rPr>
    <w:tblPr>
      <w:tblStyleRowBandSize w:val="1"/>
      <w:tblStyleColBandSize w:val="1"/>
      <w:tblBorders>
        <w:top w:val="single" w:sz="2" w:space="0" w:color="CBDBB2" w:themeColor="accent1" w:themeTint="99"/>
        <w:bottom w:val="single" w:sz="2" w:space="0" w:color="CBDBB2" w:themeColor="accent1" w:themeTint="99"/>
        <w:insideH w:val="single" w:sz="2" w:space="0" w:color="CBDBB2" w:themeColor="accent1" w:themeTint="99"/>
        <w:insideV w:val="single" w:sz="2" w:space="0" w:color="CBDBB2" w:themeColor="accent1" w:themeTint="99"/>
      </w:tblBorders>
    </w:tblPr>
    <w:tblStylePr w:type="firstRow">
      <w:rPr>
        <w:b/>
        <w:bCs/>
      </w:rPr>
      <w:tblPr/>
      <w:tcPr>
        <w:tcBorders>
          <w:top w:val="nil"/>
          <w:bottom w:val="single" w:sz="12" w:space="0" w:color="CBDBB2" w:themeColor="accent1" w:themeTint="99"/>
          <w:insideH w:val="nil"/>
          <w:insideV w:val="nil"/>
        </w:tcBorders>
        <w:shd w:val="clear" w:color="auto" w:fill="FFFFFF" w:themeFill="background1"/>
      </w:tcPr>
    </w:tblStylePr>
    <w:tblStylePr w:type="lastRow">
      <w:rPr>
        <w:b/>
        <w:bCs/>
      </w:rPr>
      <w:tblPr/>
      <w:tcPr>
        <w:tcBorders>
          <w:top w:val="double" w:sz="2" w:space="0" w:color="CBDBB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3E5" w:themeFill="accent1" w:themeFillTint="33"/>
      </w:tcPr>
    </w:tblStylePr>
    <w:tblStylePr w:type="band1Horz">
      <w:tblPr/>
      <w:tcPr>
        <w:shd w:val="clear" w:color="auto" w:fill="EDF3E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8947">
      <w:bodyDiv w:val="1"/>
      <w:marLeft w:val="0"/>
      <w:marRight w:val="0"/>
      <w:marTop w:val="0"/>
      <w:marBottom w:val="0"/>
      <w:divBdr>
        <w:top w:val="none" w:sz="0" w:space="0" w:color="auto"/>
        <w:left w:val="none" w:sz="0" w:space="0" w:color="auto"/>
        <w:bottom w:val="none" w:sz="0" w:space="0" w:color="auto"/>
        <w:right w:val="none" w:sz="0" w:space="0" w:color="auto"/>
      </w:divBdr>
    </w:div>
    <w:div w:id="721830535">
      <w:bodyDiv w:val="1"/>
      <w:marLeft w:val="0"/>
      <w:marRight w:val="0"/>
      <w:marTop w:val="0"/>
      <w:marBottom w:val="0"/>
      <w:divBdr>
        <w:top w:val="none" w:sz="0" w:space="0" w:color="auto"/>
        <w:left w:val="none" w:sz="0" w:space="0" w:color="auto"/>
        <w:bottom w:val="none" w:sz="0" w:space="0" w:color="auto"/>
        <w:right w:val="none" w:sz="0" w:space="0" w:color="auto"/>
      </w:divBdr>
    </w:div>
    <w:div w:id="1091043941">
      <w:bodyDiv w:val="1"/>
      <w:marLeft w:val="0"/>
      <w:marRight w:val="0"/>
      <w:marTop w:val="0"/>
      <w:marBottom w:val="0"/>
      <w:divBdr>
        <w:top w:val="none" w:sz="0" w:space="0" w:color="auto"/>
        <w:left w:val="none" w:sz="0" w:space="0" w:color="auto"/>
        <w:bottom w:val="none" w:sz="0" w:space="0" w:color="auto"/>
        <w:right w:val="none" w:sz="0" w:space="0" w:color="auto"/>
      </w:divBdr>
      <w:divsChild>
        <w:div w:id="1976713055">
          <w:marLeft w:val="0"/>
          <w:marRight w:val="0"/>
          <w:marTop w:val="0"/>
          <w:marBottom w:val="0"/>
          <w:divBdr>
            <w:top w:val="none" w:sz="0" w:space="0" w:color="auto"/>
            <w:left w:val="none" w:sz="0" w:space="0" w:color="auto"/>
            <w:bottom w:val="none" w:sz="0" w:space="0" w:color="auto"/>
            <w:right w:val="none" w:sz="0" w:space="0" w:color="auto"/>
          </w:divBdr>
        </w:div>
        <w:div w:id="232013225">
          <w:marLeft w:val="0"/>
          <w:marRight w:val="0"/>
          <w:marTop w:val="0"/>
          <w:marBottom w:val="0"/>
          <w:divBdr>
            <w:top w:val="none" w:sz="0" w:space="0" w:color="auto"/>
            <w:left w:val="none" w:sz="0" w:space="0" w:color="auto"/>
            <w:bottom w:val="none" w:sz="0" w:space="0" w:color="auto"/>
            <w:right w:val="none" w:sz="0" w:space="0" w:color="auto"/>
          </w:divBdr>
        </w:div>
        <w:div w:id="1793282916">
          <w:marLeft w:val="0"/>
          <w:marRight w:val="0"/>
          <w:marTop w:val="0"/>
          <w:marBottom w:val="0"/>
          <w:divBdr>
            <w:top w:val="none" w:sz="0" w:space="0" w:color="auto"/>
            <w:left w:val="none" w:sz="0" w:space="0" w:color="auto"/>
            <w:bottom w:val="none" w:sz="0" w:space="0" w:color="auto"/>
            <w:right w:val="none" w:sz="0" w:space="0" w:color="auto"/>
          </w:divBdr>
        </w:div>
      </w:divsChild>
    </w:div>
    <w:div w:id="1590698922">
      <w:bodyDiv w:val="1"/>
      <w:marLeft w:val="0"/>
      <w:marRight w:val="0"/>
      <w:marTop w:val="0"/>
      <w:marBottom w:val="0"/>
      <w:divBdr>
        <w:top w:val="none" w:sz="0" w:space="0" w:color="auto"/>
        <w:left w:val="none" w:sz="0" w:space="0" w:color="auto"/>
        <w:bottom w:val="none" w:sz="0" w:space="0" w:color="auto"/>
        <w:right w:val="none" w:sz="0" w:space="0" w:color="auto"/>
      </w:divBdr>
    </w:div>
    <w:div w:id="1958949313">
      <w:bodyDiv w:val="1"/>
      <w:marLeft w:val="0"/>
      <w:marRight w:val="0"/>
      <w:marTop w:val="0"/>
      <w:marBottom w:val="0"/>
      <w:divBdr>
        <w:top w:val="none" w:sz="0" w:space="0" w:color="auto"/>
        <w:left w:val="none" w:sz="0" w:space="0" w:color="auto"/>
        <w:bottom w:val="none" w:sz="0" w:space="0" w:color="auto"/>
        <w:right w:val="none" w:sz="0" w:space="0" w:color="auto"/>
      </w:divBdr>
    </w:div>
    <w:div w:id="2016305332">
      <w:bodyDiv w:val="1"/>
      <w:marLeft w:val="0"/>
      <w:marRight w:val="0"/>
      <w:marTop w:val="0"/>
      <w:marBottom w:val="0"/>
      <w:divBdr>
        <w:top w:val="none" w:sz="0" w:space="0" w:color="auto"/>
        <w:left w:val="none" w:sz="0" w:space="0" w:color="auto"/>
        <w:bottom w:val="none" w:sz="0" w:space="0" w:color="auto"/>
        <w:right w:val="none" w:sz="0" w:space="0" w:color="auto"/>
      </w:divBdr>
    </w:div>
    <w:div w:id="20806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ampt\appdata\roaming\microsoft\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A9C47F"/>
      </a:accent1>
      <a:accent2>
        <a:srgbClr val="6BCABA"/>
      </a:accent2>
      <a:accent3>
        <a:srgbClr val="8BD3E6"/>
      </a:accent3>
      <a:accent4>
        <a:srgbClr val="B288B9"/>
      </a:accent4>
      <a:accent5>
        <a:srgbClr val="E6A65D"/>
      </a:accent5>
      <a:accent6>
        <a:srgbClr val="D4E2B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7b05c7-0379-4ef6-8e78-8016e58b37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EB7D37C9FE224E9B994115F97E6C9A" ma:contentTypeVersion="11" ma:contentTypeDescription="Create a new document." ma:contentTypeScope="" ma:versionID="aa4dc21c2fc18bd524a02644dca14e08">
  <xsd:schema xmlns:xsd="http://www.w3.org/2001/XMLSchema" xmlns:xs="http://www.w3.org/2001/XMLSchema" xmlns:p="http://schemas.microsoft.com/office/2006/metadata/properties" xmlns:ns2="847b05c7-0379-4ef6-8e78-8016e58b37a6" xmlns:ns3="70b82b33-5bbc-425b-a355-9b0d06d6bc89" targetNamespace="http://schemas.microsoft.com/office/2006/metadata/properties" ma:root="true" ma:fieldsID="e69e40f732018c172c0bcd83e39f9aa2" ns2:_="" ns3:_="">
    <xsd:import namespace="847b05c7-0379-4ef6-8e78-8016e58b37a6"/>
    <xsd:import namespace="70b82b33-5bbc-425b-a355-9b0d06d6bc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05c7-0379-4ef6-8e78-8016e58b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e64a743-6b44-4d12-af01-f236ac8bc97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82b33-5bbc-425b-a355-9b0d06d6bc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96CDE-BC27-4E7B-BCBB-ABCA0BD21CDE}">
  <ds:schemaRefs>
    <ds:schemaRef ds:uri="http://schemas.microsoft.com/sharepoint/v3/contenttype/forms"/>
  </ds:schemaRefs>
</ds:datastoreItem>
</file>

<file path=customXml/itemProps2.xml><?xml version="1.0" encoding="utf-8"?>
<ds:datastoreItem xmlns:ds="http://schemas.openxmlformats.org/officeDocument/2006/customXml" ds:itemID="{33DCE489-0B0C-41DE-9D8B-C7C7FF26B03D}">
  <ds:schemaRefs>
    <ds:schemaRef ds:uri="http://schemas.microsoft.com/office/2006/metadata/properties"/>
    <ds:schemaRef ds:uri="http://schemas.microsoft.com/office/infopath/2007/PartnerControls"/>
    <ds:schemaRef ds:uri="847b05c7-0379-4ef6-8e78-8016e58b37a6"/>
  </ds:schemaRefs>
</ds:datastoreItem>
</file>

<file path=customXml/itemProps3.xml><?xml version="1.0" encoding="utf-8"?>
<ds:datastoreItem xmlns:ds="http://schemas.openxmlformats.org/officeDocument/2006/customXml" ds:itemID="{66EB1277-DCF3-48C5-9706-C44B256FF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05c7-0379-4ef6-8e78-8016e58b37a6"/>
    <ds:schemaRef ds:uri="70b82b33-5bbc-425b-a355-9b0d06d6b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15D7A-4A16-4284-8CC9-F60DD3B6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3</TotalTime>
  <Pages>4</Pages>
  <Words>976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Jo Hampton</dc:creator>
  <cp:lastModifiedBy>Roshni Patel</cp:lastModifiedBy>
  <cp:revision>4</cp:revision>
  <cp:lastPrinted>2023-06-29T08:32:00Z</cp:lastPrinted>
  <dcterms:created xsi:type="dcterms:W3CDTF">2024-12-03T13:09:00Z</dcterms:created>
  <dcterms:modified xsi:type="dcterms:W3CDTF">2025-03-13T10:24:00Z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0x010100ADEB7D37C9FE224E9B994115F97E6C9A</vt:lpwstr>
  </property>
  <property fmtid="{D5CDD505-2E9C-101B-9397-08002B2CF9AE}" pid="3" name="MediaServiceImageTags">
    <vt:lpwstr/>
  </property>
</Properties>
</file>