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99" w:rsidRPr="005B4B99" w:rsidRDefault="005B4B99" w:rsidP="001811CC">
      <w:pPr>
        <w:pStyle w:val="StonewallBodyCopy"/>
        <w:spacing w:line="360" w:lineRule="auto"/>
        <w:ind w:left="0"/>
        <w:jc w:val="left"/>
        <w:rPr>
          <w:b/>
          <w:color w:val="C00000"/>
          <w:sz w:val="32"/>
          <w:szCs w:val="32"/>
        </w:rPr>
      </w:pPr>
      <w:r w:rsidRPr="005B4B99">
        <w:rPr>
          <w:b/>
          <w:color w:val="C00000"/>
          <w:sz w:val="32"/>
          <w:szCs w:val="32"/>
        </w:rPr>
        <w:t>GENDER RECOGNITION ACT BRIEFING FOR WORKPLACES</w:t>
      </w:r>
    </w:p>
    <w:p w:rsidR="00C56DB6" w:rsidRDefault="00C56DB6" w:rsidP="00C56DB6">
      <w:pPr>
        <w:pStyle w:val="StonewallBodyCopy"/>
        <w:spacing w:line="360" w:lineRule="auto"/>
        <w:ind w:left="0"/>
        <w:rPr>
          <w:b/>
          <w:color w:val="C00000"/>
          <w:sz w:val="24"/>
          <w:szCs w:val="24"/>
        </w:rPr>
      </w:pPr>
      <w:r w:rsidRPr="00C56DB6">
        <w:rPr>
          <w:b/>
          <w:color w:val="C00000"/>
          <w:sz w:val="24"/>
          <w:szCs w:val="24"/>
        </w:rPr>
        <w:t>What’s wrong with the Gender Recognition Act?</w:t>
      </w:r>
    </w:p>
    <w:p w:rsidR="00C56DB6" w:rsidRPr="00C56DB6" w:rsidRDefault="00C56DB6" w:rsidP="00C56DB6">
      <w:pPr>
        <w:pStyle w:val="StonewallBodyCopy"/>
        <w:spacing w:line="360" w:lineRule="auto"/>
        <w:ind w:left="0"/>
        <w:rPr>
          <w:rStyle w:val="normaltextrun"/>
          <w:color w:val="000000"/>
          <w:shd w:val="clear" w:color="auto" w:fill="FFFFFF"/>
        </w:rPr>
      </w:pPr>
      <w:r w:rsidRPr="00C56DB6">
        <w:rPr>
          <w:rStyle w:val="normaltextrun"/>
          <w:color w:val="000000"/>
          <w:shd w:val="clear" w:color="auto" w:fill="FFFFFF"/>
        </w:rPr>
        <w:t>The Gender Recognition Act 2004 (GRA) governs how trans people can have their identity legally recognised. This was ground-breaking in its time – it’s now seriously out of date and needs reform.</w:t>
      </w:r>
    </w:p>
    <w:p w:rsidR="00C56DB6" w:rsidRPr="00C56DB6" w:rsidRDefault="00C56DB6" w:rsidP="00C56DB6">
      <w:pPr>
        <w:pStyle w:val="StonewallBodyCopy"/>
        <w:spacing w:line="360" w:lineRule="auto"/>
        <w:ind w:left="0"/>
        <w:rPr>
          <w:rStyle w:val="normaltextrun"/>
          <w:color w:val="000000"/>
          <w:shd w:val="clear" w:color="auto" w:fill="FFFFFF"/>
        </w:rPr>
      </w:pPr>
      <w:proofErr w:type="gramStart"/>
      <w:r w:rsidRPr="00C56DB6">
        <w:rPr>
          <w:rStyle w:val="normaltextrun"/>
          <w:color w:val="000000"/>
          <w:shd w:val="clear" w:color="auto" w:fill="FFFFFF"/>
        </w:rPr>
        <w:t>At the moment</w:t>
      </w:r>
      <w:proofErr w:type="gramEnd"/>
      <w:r w:rsidRPr="00C56DB6">
        <w:rPr>
          <w:rStyle w:val="normaltextrun"/>
          <w:color w:val="000000"/>
          <w:shd w:val="clear" w:color="auto" w:fill="FFFFFF"/>
        </w:rPr>
        <w:t>, trans people have to endure a long and demeaning process to ‘prove’ their gender identity. It’s not just distressing, it’s complex, costly and inaccessible to many trans people.</w:t>
      </w:r>
    </w:p>
    <w:p w:rsidR="00C56DB6" w:rsidRDefault="00C56DB6" w:rsidP="00C56DB6">
      <w:pPr>
        <w:pStyle w:val="StonewallBodyCopy"/>
        <w:spacing w:line="360" w:lineRule="auto"/>
        <w:ind w:left="0"/>
        <w:rPr>
          <w:rStyle w:val="normaltextrun"/>
          <w:color w:val="000000"/>
          <w:shd w:val="clear" w:color="auto" w:fill="FFFFFF"/>
        </w:rPr>
      </w:pPr>
    </w:p>
    <w:p w:rsidR="00C56DB6" w:rsidRDefault="00C56DB6" w:rsidP="00C56DB6">
      <w:pPr>
        <w:pStyle w:val="StonewallBodyCopy"/>
        <w:spacing w:line="360" w:lineRule="auto"/>
        <w:ind w:left="0"/>
        <w:rPr>
          <w:rStyle w:val="normaltextrun"/>
          <w:color w:val="000000"/>
          <w:shd w:val="clear" w:color="auto" w:fill="FFFFFF"/>
        </w:rPr>
      </w:pPr>
      <w:r w:rsidRPr="00C56DB6">
        <w:rPr>
          <w:b/>
          <w:color w:val="C00000"/>
          <w:sz w:val="24"/>
          <w:szCs w:val="24"/>
        </w:rPr>
        <w:t>Stonewall supports a reformed Gender Recognition Act that:</w:t>
      </w:r>
    </w:p>
    <w:p w:rsidR="00C56DB6" w:rsidRDefault="00C56DB6" w:rsidP="00C56DB6">
      <w:pPr>
        <w:pStyle w:val="StonewallBodyCopy"/>
        <w:numPr>
          <w:ilvl w:val="0"/>
          <w:numId w:val="20"/>
        </w:numPr>
        <w:spacing w:line="360" w:lineRule="auto"/>
        <w:rPr>
          <w:rStyle w:val="normaltextrun"/>
          <w:color w:val="000000"/>
          <w:shd w:val="clear" w:color="auto" w:fill="FFFFFF"/>
        </w:rPr>
      </w:pPr>
      <w:r w:rsidRPr="00C56DB6">
        <w:rPr>
          <w:rStyle w:val="normaltextrun"/>
          <w:color w:val="000000"/>
          <w:shd w:val="clear" w:color="auto" w:fill="FFFFFF"/>
        </w:rPr>
        <w:t>Requires no medical diagnosis or presentation of evidence for trans people to get their identity legally recognised</w:t>
      </w:r>
    </w:p>
    <w:p w:rsidR="00C56DB6" w:rsidRDefault="00C56DB6" w:rsidP="00C56DB6">
      <w:pPr>
        <w:pStyle w:val="StonewallBodyCopy"/>
        <w:numPr>
          <w:ilvl w:val="0"/>
          <w:numId w:val="20"/>
        </w:numPr>
        <w:spacing w:line="360" w:lineRule="auto"/>
        <w:rPr>
          <w:rStyle w:val="normaltextrun"/>
          <w:color w:val="000000"/>
          <w:shd w:val="clear" w:color="auto" w:fill="FFFFFF"/>
        </w:rPr>
      </w:pPr>
      <w:r w:rsidRPr="00C56DB6">
        <w:rPr>
          <w:rStyle w:val="normaltextrun"/>
          <w:color w:val="000000"/>
          <w:shd w:val="clear" w:color="auto" w:fill="FFFFFF"/>
        </w:rPr>
        <w:t>Recognises non-binary identities</w:t>
      </w:r>
    </w:p>
    <w:p w:rsidR="000D3932" w:rsidRPr="00C56DB6" w:rsidRDefault="00C56DB6" w:rsidP="00C56DB6">
      <w:pPr>
        <w:pStyle w:val="StonewallBodyCopy"/>
        <w:numPr>
          <w:ilvl w:val="0"/>
          <w:numId w:val="20"/>
        </w:numPr>
        <w:spacing w:line="360" w:lineRule="auto"/>
        <w:rPr>
          <w:rStyle w:val="normaltextrun"/>
          <w:color w:val="000000"/>
          <w:shd w:val="clear" w:color="auto" w:fill="FFFFFF"/>
        </w:rPr>
      </w:pPr>
      <w:r w:rsidRPr="00C56DB6">
        <w:rPr>
          <w:rStyle w:val="normaltextrun"/>
          <w:color w:val="000000"/>
          <w:shd w:val="clear" w:color="auto" w:fill="FFFFFF"/>
        </w:rPr>
        <w:t>Gives all trans people, including 16 – 17-year-olds, the right to self-determination, through a much simpler and more streamlined administrative process</w:t>
      </w:r>
    </w:p>
    <w:p w:rsidR="00C56DB6" w:rsidRPr="005B4B99" w:rsidRDefault="00C56DB6" w:rsidP="00C56DB6">
      <w:pPr>
        <w:pStyle w:val="StonewallBodyCopy"/>
        <w:spacing w:line="360" w:lineRule="auto"/>
        <w:ind w:left="0"/>
        <w:jc w:val="left"/>
        <w:rPr>
          <w:rStyle w:val="eop"/>
          <w:color w:val="000000"/>
          <w:sz w:val="16"/>
          <w:szCs w:val="16"/>
          <w:shd w:val="clear" w:color="auto" w:fill="FFFFFF"/>
        </w:rPr>
      </w:pPr>
    </w:p>
    <w:p w:rsidR="000D3932" w:rsidRPr="009E5C05" w:rsidRDefault="000D3932" w:rsidP="001811CC">
      <w:pPr>
        <w:pStyle w:val="StonewallBodyCopy"/>
        <w:spacing w:line="360" w:lineRule="auto"/>
        <w:ind w:left="0"/>
        <w:jc w:val="left"/>
        <w:rPr>
          <w:rStyle w:val="eop"/>
          <w:b/>
          <w:color w:val="C00000"/>
          <w:sz w:val="24"/>
          <w:szCs w:val="24"/>
          <w:shd w:val="clear" w:color="auto" w:fill="FFFFFF"/>
        </w:rPr>
      </w:pPr>
      <w:r w:rsidRPr="009E5C05">
        <w:rPr>
          <w:rStyle w:val="eop"/>
          <w:b/>
          <w:color w:val="C00000"/>
          <w:sz w:val="24"/>
          <w:szCs w:val="24"/>
          <w:shd w:val="clear" w:color="auto" w:fill="FFFFFF"/>
        </w:rPr>
        <w:t>What is the role of workplaces?</w:t>
      </w:r>
    </w:p>
    <w:p w:rsidR="009E5C05" w:rsidRPr="009E5C05" w:rsidRDefault="00F35230" w:rsidP="001811CC">
      <w:pPr>
        <w:pStyle w:val="StonewallBodyCopy"/>
        <w:spacing w:line="360" w:lineRule="auto"/>
        <w:ind w:left="0"/>
        <w:jc w:val="left"/>
        <w:rPr>
          <w:rStyle w:val="eop"/>
        </w:rPr>
      </w:pPr>
      <w:r>
        <w:t>This is a once-in-a-generation chance to improve the legal rights of trans people. We all have a role to play.</w:t>
      </w:r>
    </w:p>
    <w:p w:rsidR="000D3932" w:rsidRDefault="00AE02D9" w:rsidP="001811CC">
      <w:pPr>
        <w:pStyle w:val="StonewallBodyCopy"/>
        <w:spacing w:line="360" w:lineRule="auto"/>
        <w:ind w:left="0"/>
        <w:jc w:val="left"/>
        <w:rPr>
          <w:rStyle w:val="eop"/>
          <w:shd w:val="clear" w:color="auto" w:fill="FFFFFF"/>
        </w:rPr>
      </w:pPr>
      <w:r>
        <w:rPr>
          <w:rStyle w:val="eop"/>
          <w:shd w:val="clear" w:color="auto" w:fill="FFFFFF"/>
        </w:rPr>
        <w:t>Responses from workplaces are crucial, because they have:</w:t>
      </w:r>
    </w:p>
    <w:p w:rsidR="00AE02D9" w:rsidRPr="00AE02D9" w:rsidRDefault="001811CC" w:rsidP="001811CC">
      <w:pPr>
        <w:pStyle w:val="StonewallBodyCopy"/>
        <w:spacing w:line="360" w:lineRule="auto"/>
        <w:ind w:left="0"/>
        <w:jc w:val="left"/>
        <w:rPr>
          <w:rStyle w:val="eop"/>
          <w:shd w:val="clear" w:color="auto" w:fill="FFFFFF"/>
        </w:rPr>
      </w:pPr>
      <w:r>
        <w:rPr>
          <w:rStyle w:val="eop"/>
          <w:b/>
          <w:shd w:val="clear" w:color="auto" w:fill="FFFFFF"/>
        </w:rPr>
        <w:t>Expertise and experience.</w:t>
      </w:r>
      <w:r w:rsidR="00AE02D9" w:rsidRPr="00AE02D9">
        <w:rPr>
          <w:rStyle w:val="eop"/>
          <w:b/>
          <w:shd w:val="clear" w:color="auto" w:fill="FFFFFF"/>
        </w:rPr>
        <w:t xml:space="preserve"> </w:t>
      </w:r>
      <w:r w:rsidR="00AE02D9">
        <w:rPr>
          <w:rStyle w:val="eop"/>
          <w:shd w:val="clear" w:color="auto" w:fill="FFFFFF"/>
        </w:rPr>
        <w:t xml:space="preserve">Many </w:t>
      </w:r>
      <w:r w:rsidR="004D0E59">
        <w:rPr>
          <w:rStyle w:val="eop"/>
          <w:shd w:val="clear" w:color="auto" w:fill="FFFFFF"/>
        </w:rPr>
        <w:t>organisations</w:t>
      </w:r>
      <w:r w:rsidR="00AE02D9">
        <w:rPr>
          <w:rStyle w:val="eop"/>
          <w:shd w:val="clear" w:color="auto" w:fill="FFFFFF"/>
        </w:rPr>
        <w:t>, particularly Diversity Champions, have good practice around trans inclusion, or will have direct experience or sector-specific knowledge of the difficulties with the current system</w:t>
      </w:r>
      <w:r w:rsidR="00F35230">
        <w:rPr>
          <w:rStyle w:val="eop"/>
          <w:shd w:val="clear" w:color="auto" w:fill="FFFFFF"/>
        </w:rPr>
        <w:t xml:space="preserve">. </w:t>
      </w:r>
      <w:r w:rsidR="004D0E59">
        <w:rPr>
          <w:rStyle w:val="eop"/>
          <w:shd w:val="clear" w:color="auto" w:fill="FFFFFF"/>
        </w:rPr>
        <w:t xml:space="preserve">Members from across the public, private and third sectors can </w:t>
      </w:r>
      <w:r w:rsidR="00AE02D9">
        <w:rPr>
          <w:rStyle w:val="eop"/>
          <w:shd w:val="clear" w:color="auto" w:fill="FFFFFF"/>
        </w:rPr>
        <w:t xml:space="preserve">use this insight </w:t>
      </w:r>
      <w:r w:rsidR="00F35230">
        <w:rPr>
          <w:rStyle w:val="eop"/>
          <w:shd w:val="clear" w:color="auto" w:fill="FFFFFF"/>
        </w:rPr>
        <w:t>in their consultation response</w:t>
      </w:r>
      <w:r w:rsidR="009E5C05">
        <w:rPr>
          <w:rStyle w:val="eop"/>
          <w:shd w:val="clear" w:color="auto" w:fill="FFFFFF"/>
        </w:rPr>
        <w:t>s</w:t>
      </w:r>
      <w:r w:rsidR="00F35230">
        <w:rPr>
          <w:rStyle w:val="eop"/>
          <w:shd w:val="clear" w:color="auto" w:fill="FFFFFF"/>
        </w:rPr>
        <w:t xml:space="preserve"> </w:t>
      </w:r>
      <w:r w:rsidR="00AE02D9">
        <w:rPr>
          <w:rStyle w:val="eop"/>
          <w:shd w:val="clear" w:color="auto" w:fill="FFFFFF"/>
        </w:rPr>
        <w:t xml:space="preserve">to </w:t>
      </w:r>
      <w:r w:rsidR="009E5C05">
        <w:rPr>
          <w:rStyle w:val="eop"/>
          <w:shd w:val="clear" w:color="auto" w:fill="FFFFFF"/>
        </w:rPr>
        <w:t xml:space="preserve">show </w:t>
      </w:r>
      <w:r w:rsidR="00AE02D9">
        <w:rPr>
          <w:rStyle w:val="eop"/>
          <w:shd w:val="clear" w:color="auto" w:fill="FFFFFF"/>
        </w:rPr>
        <w:t>that reform is necessary</w:t>
      </w:r>
      <w:r w:rsidR="009E5C05">
        <w:rPr>
          <w:rStyle w:val="eop"/>
          <w:shd w:val="clear" w:color="auto" w:fill="FFFFFF"/>
        </w:rPr>
        <w:t xml:space="preserve"> and push the Government to go further</w:t>
      </w:r>
      <w:r w:rsidR="00AE02D9">
        <w:rPr>
          <w:rStyle w:val="eop"/>
          <w:shd w:val="clear" w:color="auto" w:fill="FFFFFF"/>
        </w:rPr>
        <w:t>.</w:t>
      </w:r>
    </w:p>
    <w:p w:rsidR="000D3932" w:rsidRPr="00AE02D9" w:rsidRDefault="001811CC" w:rsidP="001811CC">
      <w:pPr>
        <w:pStyle w:val="StonewallBodyCopy"/>
        <w:spacing w:line="360" w:lineRule="auto"/>
        <w:ind w:left="0"/>
        <w:jc w:val="left"/>
      </w:pPr>
      <w:r>
        <w:rPr>
          <w:b/>
        </w:rPr>
        <w:t>A respected voice.</w:t>
      </w:r>
      <w:r w:rsidR="00AE02D9" w:rsidRPr="00AE02D9">
        <w:rPr>
          <w:b/>
        </w:rPr>
        <w:t xml:space="preserve"> </w:t>
      </w:r>
      <w:r w:rsidR="004D0E59">
        <w:t xml:space="preserve">Organisations </w:t>
      </w:r>
      <w:r w:rsidR="00F35230">
        <w:t>carry weight with Government. By responding to consultation, workplaces can demonstrate that there is a commitment to improving legal gender recognition across all sections of society.</w:t>
      </w:r>
    </w:p>
    <w:p w:rsidR="00AE02D9" w:rsidRPr="00AE02D9" w:rsidRDefault="00AE02D9" w:rsidP="001811CC">
      <w:pPr>
        <w:pStyle w:val="StonewallBodyCopy"/>
        <w:spacing w:line="360" w:lineRule="auto"/>
        <w:ind w:left="0"/>
        <w:jc w:val="left"/>
      </w:pPr>
      <w:r>
        <w:rPr>
          <w:b/>
        </w:rPr>
        <w:t>Huge reac</w:t>
      </w:r>
      <w:r w:rsidR="001811CC">
        <w:rPr>
          <w:b/>
        </w:rPr>
        <w:t>h.</w:t>
      </w:r>
      <w:r>
        <w:rPr>
          <w:b/>
        </w:rPr>
        <w:t xml:space="preserve"> </w:t>
      </w:r>
      <w:r w:rsidR="004D0E59">
        <w:t xml:space="preserve">Our Diversity Champions collectively employ millions of people, and their communications </w:t>
      </w:r>
      <w:r w:rsidR="005B4B99">
        <w:t>could</w:t>
      </w:r>
      <w:r>
        <w:t xml:space="preserve"> reach huge numbers of employees, clients and service users</w:t>
      </w:r>
      <w:r w:rsidR="001811CC">
        <w:t xml:space="preserve"> to </w:t>
      </w:r>
      <w:r w:rsidR="005B4B99">
        <w:t>tell them</w:t>
      </w:r>
      <w:r w:rsidR="001811CC">
        <w:t xml:space="preserve"> about the consultation and how they can respond</w:t>
      </w:r>
      <w:r>
        <w:t xml:space="preserve">. </w:t>
      </w:r>
    </w:p>
    <w:p w:rsidR="00AE02D9" w:rsidRPr="005B4B99" w:rsidRDefault="00AE02D9" w:rsidP="001811CC">
      <w:pPr>
        <w:pStyle w:val="StonewallBodyCopy"/>
        <w:spacing w:line="360" w:lineRule="auto"/>
        <w:ind w:left="0"/>
        <w:jc w:val="left"/>
        <w:rPr>
          <w:sz w:val="16"/>
          <w:szCs w:val="16"/>
        </w:rPr>
      </w:pPr>
    </w:p>
    <w:p w:rsidR="00AE02D9" w:rsidRPr="00AE02D9" w:rsidRDefault="00AE02D9" w:rsidP="001811CC">
      <w:pPr>
        <w:pStyle w:val="StonewallBodyCopy"/>
        <w:spacing w:line="360" w:lineRule="auto"/>
        <w:ind w:left="0"/>
        <w:jc w:val="left"/>
        <w:rPr>
          <w:b/>
          <w:color w:val="C00000"/>
        </w:rPr>
      </w:pPr>
      <w:r w:rsidRPr="00AE02D9">
        <w:rPr>
          <w:b/>
          <w:color w:val="C00000"/>
        </w:rPr>
        <w:t xml:space="preserve">What is </w:t>
      </w:r>
      <w:r w:rsidRPr="00C56DB6">
        <w:rPr>
          <w:b/>
          <w:color w:val="C00000"/>
        </w:rPr>
        <w:t>Stonewall</w:t>
      </w:r>
      <w:r w:rsidRPr="00AE02D9">
        <w:rPr>
          <w:b/>
          <w:color w:val="C00000"/>
        </w:rPr>
        <w:t xml:space="preserve"> asking workplaces to do?</w:t>
      </w:r>
    </w:p>
    <w:p w:rsidR="00AE02D9" w:rsidRDefault="00AE02D9" w:rsidP="001811CC">
      <w:pPr>
        <w:pStyle w:val="StonewallBodyCopy"/>
        <w:numPr>
          <w:ilvl w:val="0"/>
          <w:numId w:val="18"/>
        </w:numPr>
        <w:spacing w:line="360" w:lineRule="auto"/>
        <w:jc w:val="left"/>
      </w:pPr>
      <w:r>
        <w:t xml:space="preserve">Make an organisational response to the consultation – using their expertise and experience to make </w:t>
      </w:r>
      <w:r w:rsidR="001F48E9">
        <w:t>a powerful</w:t>
      </w:r>
      <w:r>
        <w:t xml:space="preserve"> case for an improved system of gender recognition.</w:t>
      </w:r>
      <w:r w:rsidR="0033600F">
        <w:t xml:space="preserve"> </w:t>
      </w:r>
      <w:r w:rsidR="00640900">
        <w:t>S</w:t>
      </w:r>
      <w:r w:rsidR="0033600F">
        <w:t xml:space="preserve">taff LGBT networks can </w:t>
      </w:r>
      <w:r w:rsidR="00640900">
        <w:t>also submit a formal</w:t>
      </w:r>
      <w:r w:rsidR="0033600F">
        <w:t xml:space="preserve"> response.</w:t>
      </w:r>
    </w:p>
    <w:p w:rsidR="001F48E9" w:rsidRDefault="001F48E9" w:rsidP="001811CC">
      <w:pPr>
        <w:pStyle w:val="StonewallBodyCopy"/>
        <w:numPr>
          <w:ilvl w:val="0"/>
          <w:numId w:val="18"/>
        </w:numPr>
        <w:spacing w:line="360" w:lineRule="auto"/>
        <w:jc w:val="left"/>
      </w:pPr>
      <w:r>
        <w:t xml:space="preserve">Encourage staff to make their own personal responses </w:t>
      </w:r>
      <w:r w:rsidR="001811CC">
        <w:t xml:space="preserve">through internal communications channels </w:t>
      </w:r>
      <w:r>
        <w:t xml:space="preserve">– this might begin with the staff LGBT network but shouldn’t end there. </w:t>
      </w:r>
    </w:p>
    <w:p w:rsidR="001F48E9" w:rsidRDefault="001811CC" w:rsidP="001811CC">
      <w:pPr>
        <w:pStyle w:val="StonewallBodyCopy"/>
        <w:numPr>
          <w:ilvl w:val="0"/>
          <w:numId w:val="18"/>
        </w:numPr>
        <w:spacing w:line="360" w:lineRule="auto"/>
        <w:jc w:val="left"/>
      </w:pPr>
      <w:r>
        <w:t>S</w:t>
      </w:r>
      <w:r w:rsidR="001F48E9">
        <w:t xml:space="preserve">how their commitment to being LGBT allies by sharing publicly that they have responded to the consultation. </w:t>
      </w:r>
    </w:p>
    <w:p w:rsidR="006B7013" w:rsidRDefault="006B7013" w:rsidP="001811CC">
      <w:pPr>
        <w:pStyle w:val="StonewallBodyCopy"/>
        <w:spacing w:line="360" w:lineRule="auto"/>
        <w:ind w:left="0"/>
        <w:jc w:val="left"/>
      </w:pPr>
    </w:p>
    <w:p w:rsidR="007A6528" w:rsidRDefault="007A6528" w:rsidP="001811CC">
      <w:pPr>
        <w:pStyle w:val="StonewallBodyCopy"/>
        <w:spacing w:line="360" w:lineRule="auto"/>
        <w:ind w:left="0"/>
        <w:jc w:val="left"/>
      </w:pPr>
      <w:r>
        <w:rPr>
          <w:b/>
          <w:color w:val="C00000"/>
        </w:rPr>
        <w:t>The consultation is open until 19</w:t>
      </w:r>
      <w:r w:rsidRPr="007A6528">
        <w:rPr>
          <w:b/>
          <w:color w:val="C00000"/>
          <w:vertAlign w:val="superscript"/>
        </w:rPr>
        <w:t>th</w:t>
      </w:r>
      <w:r>
        <w:rPr>
          <w:b/>
          <w:color w:val="C00000"/>
        </w:rPr>
        <w:t xml:space="preserve"> October </w:t>
      </w:r>
    </w:p>
    <w:p w:rsidR="00C56DB6" w:rsidRDefault="00C56DB6" w:rsidP="001811CC">
      <w:pPr>
        <w:pStyle w:val="StonewallBodyCopy"/>
        <w:spacing w:line="360" w:lineRule="auto"/>
        <w:ind w:left="0"/>
        <w:jc w:val="left"/>
      </w:pPr>
    </w:p>
    <w:p w:rsidR="00C56DB6" w:rsidRDefault="00C56DB6" w:rsidP="001811CC">
      <w:pPr>
        <w:pStyle w:val="StonewallBodyCopy"/>
        <w:spacing w:line="360" w:lineRule="auto"/>
        <w:ind w:left="0"/>
        <w:jc w:val="left"/>
        <w:rPr>
          <w:b/>
          <w:color w:val="C00000"/>
        </w:rPr>
      </w:pPr>
    </w:p>
    <w:p w:rsidR="001811CC" w:rsidRPr="00544EA3" w:rsidRDefault="001811CC" w:rsidP="00544EA3">
      <w:pPr>
        <w:pStyle w:val="StonewallBodyCopy"/>
        <w:spacing w:line="360" w:lineRule="auto"/>
        <w:ind w:left="0"/>
        <w:jc w:val="left"/>
        <w:rPr>
          <w:b/>
          <w:color w:val="C00000"/>
        </w:rPr>
      </w:pPr>
      <w:r w:rsidRPr="001811CC">
        <w:rPr>
          <w:b/>
          <w:color w:val="C00000"/>
        </w:rPr>
        <w:t>What resources can we offer?</w:t>
      </w:r>
    </w:p>
    <w:p w:rsidR="00BA2D76" w:rsidRDefault="00BA2D76" w:rsidP="00BA2D76">
      <w:pPr>
        <w:pStyle w:val="StonewallBodyCopy"/>
        <w:numPr>
          <w:ilvl w:val="0"/>
          <w:numId w:val="19"/>
        </w:numPr>
        <w:spacing w:line="360" w:lineRule="auto"/>
        <w:jc w:val="left"/>
      </w:pPr>
      <w:r>
        <w:t xml:space="preserve">Organisations can complete their response on the </w:t>
      </w:r>
      <w:hyperlink r:id="rId8" w:history="1">
        <w:r w:rsidRPr="00BA2D76">
          <w:rPr>
            <w:rStyle w:val="Hyperlink"/>
          </w:rPr>
          <w:t>government website</w:t>
        </w:r>
      </w:hyperlink>
      <w:r>
        <w:t>.</w:t>
      </w:r>
    </w:p>
    <w:p w:rsidR="00544EA3" w:rsidRDefault="00544EA3" w:rsidP="00BA2D76">
      <w:pPr>
        <w:pStyle w:val="StonewallBodyCopy"/>
        <w:numPr>
          <w:ilvl w:val="0"/>
          <w:numId w:val="19"/>
        </w:numPr>
        <w:spacing w:line="360" w:lineRule="auto"/>
        <w:jc w:val="left"/>
      </w:pPr>
      <w:hyperlink r:id="rId9" w:history="1">
        <w:r w:rsidRPr="00BA2D76">
          <w:rPr>
            <w:rStyle w:val="Hyperlink"/>
          </w:rPr>
          <w:t>Top tips on how to respond</w:t>
        </w:r>
      </w:hyperlink>
      <w:r>
        <w:t>.</w:t>
      </w:r>
      <w:r>
        <w:t xml:space="preserve"> You can also make an individual response through our website.</w:t>
      </w:r>
      <w:bookmarkStart w:id="0" w:name="_GoBack"/>
      <w:bookmarkEnd w:id="0"/>
    </w:p>
    <w:p w:rsidR="001811CC" w:rsidRDefault="00F024C3" w:rsidP="006C2848">
      <w:pPr>
        <w:pStyle w:val="StonewallBodyCopy"/>
        <w:numPr>
          <w:ilvl w:val="0"/>
          <w:numId w:val="19"/>
        </w:numPr>
        <w:spacing w:line="360" w:lineRule="auto"/>
        <w:jc w:val="left"/>
      </w:pPr>
      <w:hyperlink r:id="rId10" w:history="1">
        <w:r w:rsidR="001811CC" w:rsidRPr="00BA2D76">
          <w:rPr>
            <w:rStyle w:val="Hyperlink"/>
          </w:rPr>
          <w:t>Posters, stickers, placards</w:t>
        </w:r>
      </w:hyperlink>
      <w:r w:rsidR="00BA2D76">
        <w:t xml:space="preserve"> and more.</w:t>
      </w:r>
    </w:p>
    <w:p w:rsidR="001811CC" w:rsidRDefault="00F024C3" w:rsidP="00BA2D76">
      <w:pPr>
        <w:pStyle w:val="StonewallBodyCopy"/>
        <w:numPr>
          <w:ilvl w:val="0"/>
          <w:numId w:val="19"/>
        </w:numPr>
        <w:spacing w:line="360" w:lineRule="auto"/>
        <w:jc w:val="left"/>
      </w:pPr>
      <w:hyperlink r:id="rId11" w:history="1">
        <w:r w:rsidR="006C2848" w:rsidRPr="00BA2D76">
          <w:rPr>
            <w:rStyle w:val="Hyperlink"/>
          </w:rPr>
          <w:t>Q&amp;A addressing c</w:t>
        </w:r>
        <w:r w:rsidR="00BA2D76" w:rsidRPr="00BA2D76">
          <w:rPr>
            <w:rStyle w:val="Hyperlink"/>
          </w:rPr>
          <w:t>ommon myths and misconceptions</w:t>
        </w:r>
      </w:hyperlink>
      <w:r w:rsidR="00BA2D76">
        <w:t>.</w:t>
      </w:r>
    </w:p>
    <w:p w:rsidR="0087347C" w:rsidRDefault="0087347C" w:rsidP="001811CC">
      <w:pPr>
        <w:pStyle w:val="StonewallBodyCopy"/>
        <w:spacing w:line="360" w:lineRule="auto"/>
        <w:ind w:left="0"/>
        <w:jc w:val="left"/>
        <w:rPr>
          <w:i/>
          <w:color w:val="C00000"/>
        </w:rPr>
      </w:pPr>
    </w:p>
    <w:p w:rsidR="0087347C" w:rsidRDefault="0087347C" w:rsidP="001811CC">
      <w:pPr>
        <w:pStyle w:val="StonewallBodyCopy"/>
        <w:spacing w:line="360" w:lineRule="auto"/>
        <w:ind w:left="0"/>
        <w:jc w:val="left"/>
        <w:rPr>
          <w:i/>
          <w:color w:val="C00000"/>
        </w:rPr>
      </w:pPr>
    </w:p>
    <w:p w:rsidR="0087347C" w:rsidRPr="00083D2E" w:rsidRDefault="0087347C" w:rsidP="001811CC">
      <w:pPr>
        <w:pStyle w:val="StonewallBodyCopy"/>
        <w:spacing w:line="360" w:lineRule="auto"/>
        <w:ind w:left="0"/>
        <w:jc w:val="left"/>
        <w:rPr>
          <w:i/>
          <w:color w:val="C00000"/>
        </w:rPr>
      </w:pPr>
    </w:p>
    <w:sectPr w:rsidR="0087347C" w:rsidRPr="00083D2E" w:rsidSect="00082171">
      <w:headerReference w:type="default" r:id="rId12"/>
      <w:footerReference w:type="default" r:id="rId13"/>
      <w:pgSz w:w="11900" w:h="16840"/>
      <w:pgMar w:top="2410" w:right="843" w:bottom="1440" w:left="851" w:header="1134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4C3" w:rsidRDefault="00F024C3" w:rsidP="00AC0E74">
      <w:pPr>
        <w:spacing w:after="0"/>
      </w:pPr>
      <w:r>
        <w:separator/>
      </w:r>
    </w:p>
  </w:endnote>
  <w:endnote w:type="continuationSeparator" w:id="0">
    <w:p w:rsidR="00F024C3" w:rsidRDefault="00F024C3" w:rsidP="00AC0E74">
      <w:pPr>
        <w:spacing w:after="0"/>
      </w:pPr>
      <w:r>
        <w:continuationSeparator/>
      </w:r>
    </w:p>
  </w:endnote>
  <w:endnote w:type="continuationNotice" w:id="1">
    <w:p w:rsidR="00F024C3" w:rsidRDefault="00F024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A40" w:rsidRPr="00573DF4" w:rsidRDefault="00E44A40" w:rsidP="00573DF4">
    <w:pPr>
      <w:pStyle w:val="SWPageNumber"/>
      <w:rPr>
        <w:rStyle w:val="StonewallReportSubtitle"/>
      </w:rPr>
    </w:pPr>
    <w:r w:rsidRPr="00573DF4">
      <w:rPr>
        <w:rStyle w:val="StonewallReportSubtitle"/>
      </w:rPr>
      <w:drawing>
        <wp:anchor distT="0" distB="0" distL="114300" distR="114300" simplePos="0" relativeHeight="251658240" behindDoc="1" locked="1" layoutInCell="1" allowOverlap="1" wp14:anchorId="33C622F8" wp14:editId="728B8B68">
          <wp:simplePos x="0" y="0"/>
          <wp:positionH relativeFrom="column">
            <wp:posOffset>-60960</wp:posOffset>
          </wp:positionH>
          <wp:positionV relativeFrom="paragraph">
            <wp:posOffset>-320675</wp:posOffset>
          </wp:positionV>
          <wp:extent cx="7642225" cy="988695"/>
          <wp:effectExtent l="0" t="0" r="317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225" cy="98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3DF4">
      <w:rPr>
        <w:rStyle w:val="StonewallReportSubtitle"/>
      </w:rPr>
      <w:t xml:space="preserve">Page </w:t>
    </w:r>
    <w:r w:rsidRPr="00573DF4">
      <w:rPr>
        <w:rStyle w:val="StonewallReportSubtitle"/>
      </w:rPr>
      <w:fldChar w:fldCharType="begin"/>
    </w:r>
    <w:r w:rsidRPr="00573DF4">
      <w:rPr>
        <w:rStyle w:val="StonewallReportSubtitle"/>
      </w:rPr>
      <w:instrText xml:space="preserve"> PAGE </w:instrText>
    </w:r>
    <w:r w:rsidRPr="00573DF4">
      <w:rPr>
        <w:rStyle w:val="StonewallReportSubtitle"/>
      </w:rPr>
      <w:fldChar w:fldCharType="separate"/>
    </w:r>
    <w:r w:rsidR="00CE159D">
      <w:rPr>
        <w:rStyle w:val="StonewallReportSubtitle"/>
      </w:rPr>
      <w:t>1</w:t>
    </w:r>
    <w:r w:rsidRPr="00573DF4">
      <w:rPr>
        <w:rStyle w:val="StonewallReportSubtit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4C3" w:rsidRDefault="00F024C3" w:rsidP="00AC0E74">
      <w:pPr>
        <w:spacing w:after="0"/>
      </w:pPr>
      <w:r>
        <w:separator/>
      </w:r>
    </w:p>
  </w:footnote>
  <w:footnote w:type="continuationSeparator" w:id="0">
    <w:p w:rsidR="00F024C3" w:rsidRDefault="00F024C3" w:rsidP="00AC0E74">
      <w:pPr>
        <w:spacing w:after="0"/>
      </w:pPr>
      <w:r>
        <w:continuationSeparator/>
      </w:r>
    </w:p>
  </w:footnote>
  <w:footnote w:type="continuationNotice" w:id="1">
    <w:p w:rsidR="00F024C3" w:rsidRDefault="00F024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A40" w:rsidRPr="00C47E1E" w:rsidRDefault="00E44A40" w:rsidP="00EA6FA7">
    <w:pPr>
      <w:pStyle w:val="StonewallHeading1"/>
      <w:tabs>
        <w:tab w:val="right" w:pos="10206"/>
      </w:tabs>
    </w:pPr>
    <w:r w:rsidRPr="00573DF4">
      <w:rPr>
        <w:rStyle w:val="StonewallReportTitle"/>
        <w:noProof/>
      </w:rPr>
      <w:drawing>
        <wp:anchor distT="360045" distB="360045" distL="360045" distR="360045" simplePos="0" relativeHeight="251658241" behindDoc="1" locked="1" layoutInCell="1" allowOverlap="1" wp14:anchorId="63E4CE2C" wp14:editId="0F6CFE7A">
          <wp:simplePos x="0" y="0"/>
          <wp:positionH relativeFrom="margin">
            <wp:align>right</wp:align>
          </wp:positionH>
          <wp:positionV relativeFrom="paragraph">
            <wp:posOffset>-302260</wp:posOffset>
          </wp:positionV>
          <wp:extent cx="1438520" cy="571500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52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6F9">
      <w:rPr>
        <w:rStyle w:val="StonewallReportTitle"/>
      </w:rPr>
      <w:t xml:space="preserve">GRA </w:t>
    </w:r>
    <w:r>
      <w:rPr>
        <w:rStyle w:val="StonewallReportTitle"/>
      </w:rPr>
      <w:t>Briefing</w:t>
    </w:r>
    <w:r w:rsidR="006B7013">
      <w:rPr>
        <w:rStyle w:val="StonewallReportTitle"/>
      </w:rPr>
      <w:t>: Workplaces</w:t>
    </w:r>
    <w:r w:rsidR="00EA6FA7">
      <w:rPr>
        <w:rStyle w:val="StonewallReportSubtit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6F0F"/>
    <w:multiLevelType w:val="hybridMultilevel"/>
    <w:tmpl w:val="B4FC997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B2E0D8C"/>
    <w:multiLevelType w:val="hybridMultilevel"/>
    <w:tmpl w:val="A9A22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13F6"/>
    <w:multiLevelType w:val="hybridMultilevel"/>
    <w:tmpl w:val="0A862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F4981"/>
    <w:multiLevelType w:val="hybridMultilevel"/>
    <w:tmpl w:val="39FE2DA0"/>
    <w:lvl w:ilvl="0" w:tplc="C0A61A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62504"/>
    <w:multiLevelType w:val="hybridMultilevel"/>
    <w:tmpl w:val="77047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3FC8"/>
    <w:multiLevelType w:val="hybridMultilevel"/>
    <w:tmpl w:val="5C9898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40C85"/>
    <w:multiLevelType w:val="hybridMultilevel"/>
    <w:tmpl w:val="D7C05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6148B"/>
    <w:multiLevelType w:val="hybridMultilevel"/>
    <w:tmpl w:val="96549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A6959"/>
    <w:multiLevelType w:val="hybridMultilevel"/>
    <w:tmpl w:val="861E8E5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CC3BEA"/>
    <w:multiLevelType w:val="hybridMultilevel"/>
    <w:tmpl w:val="BDD4E5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5B0A28"/>
    <w:multiLevelType w:val="hybridMultilevel"/>
    <w:tmpl w:val="E26CC9D2"/>
    <w:lvl w:ilvl="0" w:tplc="2654BB66">
      <w:start w:val="2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color w:val="FF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07F3"/>
    <w:multiLevelType w:val="hybridMultilevel"/>
    <w:tmpl w:val="3B64D100"/>
    <w:lvl w:ilvl="0" w:tplc="B906CC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A3922"/>
    <w:multiLevelType w:val="hybridMultilevel"/>
    <w:tmpl w:val="0F0A4F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952434"/>
    <w:multiLevelType w:val="hybridMultilevel"/>
    <w:tmpl w:val="197E7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508A1"/>
    <w:multiLevelType w:val="hybridMultilevel"/>
    <w:tmpl w:val="59240FE6"/>
    <w:lvl w:ilvl="0" w:tplc="272C10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32321"/>
    <w:multiLevelType w:val="hybridMultilevel"/>
    <w:tmpl w:val="30D0EE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621FC1"/>
    <w:multiLevelType w:val="hybridMultilevel"/>
    <w:tmpl w:val="CBDEB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D1A66"/>
    <w:multiLevelType w:val="hybridMultilevel"/>
    <w:tmpl w:val="3E721D7E"/>
    <w:lvl w:ilvl="0" w:tplc="803ACB3C">
      <w:numFmt w:val="bullet"/>
      <w:lvlText w:val="-"/>
      <w:lvlJc w:val="left"/>
      <w:pPr>
        <w:ind w:left="1211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C8C4D23"/>
    <w:multiLevelType w:val="hybridMultilevel"/>
    <w:tmpl w:val="5B58C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D7109"/>
    <w:multiLevelType w:val="hybridMultilevel"/>
    <w:tmpl w:val="7F5C7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"/>
  </w:num>
  <w:num w:numId="5">
    <w:abstractNumId w:val="9"/>
  </w:num>
  <w:num w:numId="6">
    <w:abstractNumId w:val="11"/>
  </w:num>
  <w:num w:numId="7">
    <w:abstractNumId w:val="17"/>
  </w:num>
  <w:num w:numId="8">
    <w:abstractNumId w:val="12"/>
  </w:num>
  <w:num w:numId="9">
    <w:abstractNumId w:val="14"/>
  </w:num>
  <w:num w:numId="10">
    <w:abstractNumId w:val="16"/>
  </w:num>
  <w:num w:numId="11">
    <w:abstractNumId w:val="4"/>
  </w:num>
  <w:num w:numId="12">
    <w:abstractNumId w:val="6"/>
  </w:num>
  <w:num w:numId="13">
    <w:abstractNumId w:val="13"/>
  </w:num>
  <w:num w:numId="14">
    <w:abstractNumId w:val="15"/>
  </w:num>
  <w:num w:numId="15">
    <w:abstractNumId w:val="8"/>
  </w:num>
  <w:num w:numId="16">
    <w:abstractNumId w:val="5"/>
  </w:num>
  <w:num w:numId="17">
    <w:abstractNumId w:val="19"/>
  </w:num>
  <w:num w:numId="18">
    <w:abstractNumId w:val="7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74"/>
    <w:rsid w:val="00016435"/>
    <w:rsid w:val="00017005"/>
    <w:rsid w:val="00020FCE"/>
    <w:rsid w:val="00033425"/>
    <w:rsid w:val="00047AE8"/>
    <w:rsid w:val="00047B6D"/>
    <w:rsid w:val="000675E6"/>
    <w:rsid w:val="00082171"/>
    <w:rsid w:val="00082C65"/>
    <w:rsid w:val="00083D2E"/>
    <w:rsid w:val="0008477C"/>
    <w:rsid w:val="000926CB"/>
    <w:rsid w:val="000B28F6"/>
    <w:rsid w:val="000B7C8B"/>
    <w:rsid w:val="000C40EE"/>
    <w:rsid w:val="000C6329"/>
    <w:rsid w:val="000D3932"/>
    <w:rsid w:val="000D5867"/>
    <w:rsid w:val="000D7B6F"/>
    <w:rsid w:val="000F0F88"/>
    <w:rsid w:val="00111D9D"/>
    <w:rsid w:val="00123EF3"/>
    <w:rsid w:val="00130DF2"/>
    <w:rsid w:val="0013345C"/>
    <w:rsid w:val="001657AA"/>
    <w:rsid w:val="001658FC"/>
    <w:rsid w:val="00166C04"/>
    <w:rsid w:val="001811CC"/>
    <w:rsid w:val="00183624"/>
    <w:rsid w:val="00193C6D"/>
    <w:rsid w:val="001A319C"/>
    <w:rsid w:val="001B3A65"/>
    <w:rsid w:val="001C2F57"/>
    <w:rsid w:val="001C6F9E"/>
    <w:rsid w:val="001D024B"/>
    <w:rsid w:val="001D0927"/>
    <w:rsid w:val="001D0CE9"/>
    <w:rsid w:val="001F48E9"/>
    <w:rsid w:val="00206C99"/>
    <w:rsid w:val="002324A4"/>
    <w:rsid w:val="0026382E"/>
    <w:rsid w:val="00266CDF"/>
    <w:rsid w:val="00281F16"/>
    <w:rsid w:val="00283359"/>
    <w:rsid w:val="002B4E54"/>
    <w:rsid w:val="002C26C3"/>
    <w:rsid w:val="0031325A"/>
    <w:rsid w:val="0033600F"/>
    <w:rsid w:val="0034465A"/>
    <w:rsid w:val="00347C4E"/>
    <w:rsid w:val="00353751"/>
    <w:rsid w:val="0037076E"/>
    <w:rsid w:val="0037397D"/>
    <w:rsid w:val="00380A47"/>
    <w:rsid w:val="00381182"/>
    <w:rsid w:val="00392626"/>
    <w:rsid w:val="003A6661"/>
    <w:rsid w:val="003C1037"/>
    <w:rsid w:val="003C78F3"/>
    <w:rsid w:val="00407401"/>
    <w:rsid w:val="00416F8D"/>
    <w:rsid w:val="00424896"/>
    <w:rsid w:val="004449AD"/>
    <w:rsid w:val="004623F1"/>
    <w:rsid w:val="004720D9"/>
    <w:rsid w:val="00487613"/>
    <w:rsid w:val="004C165C"/>
    <w:rsid w:val="004C630E"/>
    <w:rsid w:val="004D0E59"/>
    <w:rsid w:val="004D5A93"/>
    <w:rsid w:val="004E1B39"/>
    <w:rsid w:val="004E29F8"/>
    <w:rsid w:val="004E6726"/>
    <w:rsid w:val="004F1F40"/>
    <w:rsid w:val="00511ECA"/>
    <w:rsid w:val="00520E57"/>
    <w:rsid w:val="00544EA3"/>
    <w:rsid w:val="005537B1"/>
    <w:rsid w:val="00572938"/>
    <w:rsid w:val="00573DF4"/>
    <w:rsid w:val="005754CC"/>
    <w:rsid w:val="00575D67"/>
    <w:rsid w:val="005852BE"/>
    <w:rsid w:val="0059535D"/>
    <w:rsid w:val="005B3A60"/>
    <w:rsid w:val="005B4B99"/>
    <w:rsid w:val="005B5C1E"/>
    <w:rsid w:val="005C0D61"/>
    <w:rsid w:val="005C40E6"/>
    <w:rsid w:val="005C636F"/>
    <w:rsid w:val="005D56B5"/>
    <w:rsid w:val="00621083"/>
    <w:rsid w:val="00625776"/>
    <w:rsid w:val="00630DCE"/>
    <w:rsid w:val="00640900"/>
    <w:rsid w:val="006805A2"/>
    <w:rsid w:val="00693D59"/>
    <w:rsid w:val="006B5EFE"/>
    <w:rsid w:val="006B7013"/>
    <w:rsid w:val="006C2848"/>
    <w:rsid w:val="006C3480"/>
    <w:rsid w:val="006F02B1"/>
    <w:rsid w:val="006F1846"/>
    <w:rsid w:val="006F23BC"/>
    <w:rsid w:val="006F2A05"/>
    <w:rsid w:val="007047E6"/>
    <w:rsid w:val="00736621"/>
    <w:rsid w:val="0074358F"/>
    <w:rsid w:val="0076411E"/>
    <w:rsid w:val="00765AAC"/>
    <w:rsid w:val="00775230"/>
    <w:rsid w:val="00777CF3"/>
    <w:rsid w:val="00797D98"/>
    <w:rsid w:val="007A6528"/>
    <w:rsid w:val="007B3D15"/>
    <w:rsid w:val="007C4D25"/>
    <w:rsid w:val="007E5ED4"/>
    <w:rsid w:val="007F00CC"/>
    <w:rsid w:val="007F6656"/>
    <w:rsid w:val="00820B2C"/>
    <w:rsid w:val="00844030"/>
    <w:rsid w:val="00860100"/>
    <w:rsid w:val="0087347C"/>
    <w:rsid w:val="00874E33"/>
    <w:rsid w:val="0089171D"/>
    <w:rsid w:val="008D1FC7"/>
    <w:rsid w:val="008D41CC"/>
    <w:rsid w:val="008E3EEB"/>
    <w:rsid w:val="008E5D46"/>
    <w:rsid w:val="008F4F58"/>
    <w:rsid w:val="009036F9"/>
    <w:rsid w:val="0094294E"/>
    <w:rsid w:val="00944308"/>
    <w:rsid w:val="00946A04"/>
    <w:rsid w:val="00946CC4"/>
    <w:rsid w:val="009664BA"/>
    <w:rsid w:val="009726E7"/>
    <w:rsid w:val="009A03F6"/>
    <w:rsid w:val="009B36CF"/>
    <w:rsid w:val="009B4CF2"/>
    <w:rsid w:val="009C1645"/>
    <w:rsid w:val="009C42A6"/>
    <w:rsid w:val="009E5C05"/>
    <w:rsid w:val="00A133CC"/>
    <w:rsid w:val="00A14C03"/>
    <w:rsid w:val="00A326EA"/>
    <w:rsid w:val="00A46F3D"/>
    <w:rsid w:val="00A60934"/>
    <w:rsid w:val="00A70286"/>
    <w:rsid w:val="00A7054E"/>
    <w:rsid w:val="00A8397B"/>
    <w:rsid w:val="00AB7EFB"/>
    <w:rsid w:val="00AC0285"/>
    <w:rsid w:val="00AC0E74"/>
    <w:rsid w:val="00AD41F0"/>
    <w:rsid w:val="00AE02D9"/>
    <w:rsid w:val="00AF5303"/>
    <w:rsid w:val="00B06E59"/>
    <w:rsid w:val="00B176BA"/>
    <w:rsid w:val="00B20D69"/>
    <w:rsid w:val="00B5424A"/>
    <w:rsid w:val="00B96AE1"/>
    <w:rsid w:val="00BA2C65"/>
    <w:rsid w:val="00BA2D76"/>
    <w:rsid w:val="00BB582A"/>
    <w:rsid w:val="00BF34EC"/>
    <w:rsid w:val="00C126EC"/>
    <w:rsid w:val="00C13E59"/>
    <w:rsid w:val="00C24CA0"/>
    <w:rsid w:val="00C3789D"/>
    <w:rsid w:val="00C47E1E"/>
    <w:rsid w:val="00C56DB6"/>
    <w:rsid w:val="00C6220F"/>
    <w:rsid w:val="00C70527"/>
    <w:rsid w:val="00C8283F"/>
    <w:rsid w:val="00C96244"/>
    <w:rsid w:val="00CB3BD8"/>
    <w:rsid w:val="00CE159D"/>
    <w:rsid w:val="00D00DFA"/>
    <w:rsid w:val="00D250EF"/>
    <w:rsid w:val="00D322BD"/>
    <w:rsid w:val="00D42511"/>
    <w:rsid w:val="00D4453A"/>
    <w:rsid w:val="00D52B55"/>
    <w:rsid w:val="00D56944"/>
    <w:rsid w:val="00DB180F"/>
    <w:rsid w:val="00DC05D2"/>
    <w:rsid w:val="00DC3855"/>
    <w:rsid w:val="00DD07D6"/>
    <w:rsid w:val="00DD530D"/>
    <w:rsid w:val="00E144B9"/>
    <w:rsid w:val="00E2306C"/>
    <w:rsid w:val="00E35D8C"/>
    <w:rsid w:val="00E44A40"/>
    <w:rsid w:val="00E61359"/>
    <w:rsid w:val="00E6511D"/>
    <w:rsid w:val="00E672FF"/>
    <w:rsid w:val="00E91FA0"/>
    <w:rsid w:val="00EA6FA7"/>
    <w:rsid w:val="00ED6782"/>
    <w:rsid w:val="00ED78AC"/>
    <w:rsid w:val="00EE3AA0"/>
    <w:rsid w:val="00EF469F"/>
    <w:rsid w:val="00EF76F8"/>
    <w:rsid w:val="00F024C3"/>
    <w:rsid w:val="00F17DA6"/>
    <w:rsid w:val="00F2408F"/>
    <w:rsid w:val="00F3091F"/>
    <w:rsid w:val="00F321C7"/>
    <w:rsid w:val="00F35230"/>
    <w:rsid w:val="00F42EE1"/>
    <w:rsid w:val="00F4328A"/>
    <w:rsid w:val="00F44833"/>
    <w:rsid w:val="00F5757E"/>
    <w:rsid w:val="00F80E9C"/>
    <w:rsid w:val="00F8494E"/>
    <w:rsid w:val="00F92CFF"/>
    <w:rsid w:val="00FB18E1"/>
    <w:rsid w:val="00FD67CD"/>
    <w:rsid w:val="00FE6933"/>
    <w:rsid w:val="12969FEF"/>
    <w:rsid w:val="1B8DB556"/>
    <w:rsid w:val="76B601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206595"/>
  <w15:docId w15:val="{22272DEC-6A4D-4353-876B-D42729E9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E7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74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0E7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0E74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0E7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0E74"/>
    <w:rPr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rsid w:val="004449AD"/>
    <w:rPr>
      <w:i/>
      <w:iCs/>
      <w:color w:val="808080" w:themeColor="text1" w:themeTint="7F"/>
    </w:rPr>
  </w:style>
  <w:style w:type="paragraph" w:customStyle="1" w:styleId="StonewallBodyCopy">
    <w:name w:val="Stonewall Body Copy"/>
    <w:basedOn w:val="Normal"/>
    <w:qFormat/>
    <w:rsid w:val="00C47E1E"/>
    <w:pPr>
      <w:suppressAutoHyphens/>
      <w:spacing w:after="0" w:line="300" w:lineRule="exact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StonewallHeading1">
    <w:name w:val="Stonewall Heading 1"/>
    <w:qFormat/>
    <w:rsid w:val="00573DF4"/>
    <w:pPr>
      <w:spacing w:line="500" w:lineRule="exact"/>
    </w:pPr>
    <w:rPr>
      <w:rFonts w:ascii="Arial" w:hAnsi="Arial" w:cs="Arial"/>
      <w:b/>
      <w:color w:val="CD0920"/>
      <w:sz w:val="40"/>
      <w:szCs w:val="40"/>
      <w:lang w:val="en-GB"/>
    </w:rPr>
  </w:style>
  <w:style w:type="paragraph" w:customStyle="1" w:styleId="StonewallSubheading">
    <w:name w:val="Stonewall Subheading"/>
    <w:qFormat/>
    <w:rsid w:val="00573DF4"/>
    <w:pPr>
      <w:spacing w:line="420" w:lineRule="exact"/>
    </w:pPr>
    <w:rPr>
      <w:rFonts w:ascii="Arial" w:hAnsi="Arial" w:cs="Arial"/>
      <w:color w:val="808080"/>
      <w:sz w:val="32"/>
      <w:szCs w:val="36"/>
      <w:lang w:val="en-GB"/>
    </w:rPr>
  </w:style>
  <w:style w:type="paragraph" w:customStyle="1" w:styleId="StonewallHeading2">
    <w:name w:val="Stonewall Heading 2"/>
    <w:qFormat/>
    <w:rsid w:val="00573DF4"/>
    <w:rPr>
      <w:rFonts w:ascii="Arial" w:hAnsi="Arial" w:cs="Arial"/>
      <w:b/>
      <w:sz w:val="40"/>
      <w:szCs w:val="4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47E1E"/>
  </w:style>
  <w:style w:type="character" w:customStyle="1" w:styleId="StonewallReportTitle">
    <w:name w:val="Stonewall Report Title"/>
    <w:basedOn w:val="DefaultParagraphFont"/>
    <w:uiPriority w:val="1"/>
    <w:qFormat/>
    <w:rsid w:val="00573DF4"/>
    <w:rPr>
      <w:color w:val="000000" w:themeColor="text1"/>
      <w:sz w:val="16"/>
      <w:szCs w:val="16"/>
    </w:rPr>
  </w:style>
  <w:style w:type="character" w:customStyle="1" w:styleId="StonewallReportSubtitle">
    <w:name w:val="Stonewall Report Subtitle"/>
    <w:basedOn w:val="DefaultParagraphFont"/>
    <w:uiPriority w:val="1"/>
    <w:qFormat/>
    <w:rsid w:val="00573DF4"/>
    <w:rPr>
      <w:color w:val="808080" w:themeColor="background1" w:themeShade="80"/>
      <w:sz w:val="16"/>
      <w:szCs w:val="16"/>
    </w:rPr>
  </w:style>
  <w:style w:type="paragraph" w:customStyle="1" w:styleId="StonewallPageNumber">
    <w:name w:val="Stonewall Page Number"/>
    <w:basedOn w:val="Footer"/>
    <w:qFormat/>
    <w:rsid w:val="00DD530D"/>
    <w:pPr>
      <w:ind w:left="851"/>
    </w:pPr>
    <w:rPr>
      <w:noProof/>
      <w:lang w:val="en-US" w:eastAsia="en-US"/>
    </w:rPr>
  </w:style>
  <w:style w:type="paragraph" w:customStyle="1" w:styleId="SWPageNumber">
    <w:name w:val="SW Page Number"/>
    <w:basedOn w:val="StonewallPageNumber"/>
    <w:qFormat/>
    <w:rsid w:val="00573DF4"/>
    <w:pPr>
      <w:ind w:left="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805A2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754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4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2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6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6E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6EA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3B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3BC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F23BC"/>
    <w:rPr>
      <w:vertAlign w:val="superscript"/>
    </w:rPr>
  </w:style>
  <w:style w:type="character" w:customStyle="1" w:styleId="normaltextrun">
    <w:name w:val="normaltextrun"/>
    <w:basedOn w:val="DefaultParagraphFont"/>
    <w:rsid w:val="000D3932"/>
  </w:style>
  <w:style w:type="character" w:customStyle="1" w:styleId="eop">
    <w:name w:val="eop"/>
    <w:basedOn w:val="DefaultParagraphFont"/>
    <w:rsid w:val="000D3932"/>
  </w:style>
  <w:style w:type="paragraph" w:customStyle="1" w:styleId="paragraph">
    <w:name w:val="paragraph"/>
    <w:basedOn w:val="Normal"/>
    <w:rsid w:val="000D39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56D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.education.gov.uk/government-equalities-office/reform-of-the-gender-recognition-act/consultation/intr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onewall.org.uk/truth-about-tra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onewall.org.uk/i-will-stand-trans-righ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onewall.org.uk/gender-recognition-ac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033E91-92BA-4C8A-AEE7-7945DF51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Chilcott</dc:creator>
  <cp:lastModifiedBy>Billy Cole</cp:lastModifiedBy>
  <cp:revision>7</cp:revision>
  <cp:lastPrinted>2015-07-20T10:08:00Z</cp:lastPrinted>
  <dcterms:created xsi:type="dcterms:W3CDTF">2018-09-17T15:40:00Z</dcterms:created>
  <dcterms:modified xsi:type="dcterms:W3CDTF">2018-09-20T07:47:00Z</dcterms:modified>
</cp:coreProperties>
</file>