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Y="1"/>
        <w:tblOverlap w:val="never"/>
        <w:tblW w:w="12079" w:type="dxa"/>
        <w:shd w:val="clear" w:color="auto" w:fill="EDEDED" w:themeFill="accent3" w:themeFillTint="33"/>
        <w:tblLayout w:type="fixed"/>
        <w:tblCellMar>
          <w:left w:w="0" w:type="dxa"/>
          <w:right w:w="0" w:type="dxa"/>
        </w:tblCellMar>
        <w:tblLook w:val="04A0" w:firstRow="1" w:lastRow="0" w:firstColumn="1" w:lastColumn="0" w:noHBand="0" w:noVBand="1"/>
      </w:tblPr>
      <w:tblGrid>
        <w:gridCol w:w="850"/>
        <w:gridCol w:w="7257"/>
        <w:gridCol w:w="3005"/>
        <w:gridCol w:w="967"/>
      </w:tblGrid>
      <w:tr w:rsidR="000C1B69" w:rsidRPr="002F2679" w14:paraId="6E021B64" w14:textId="77777777" w:rsidTr="00A417EA">
        <w:trPr>
          <w:trHeight w:val="737"/>
        </w:trPr>
        <w:tc>
          <w:tcPr>
            <w:tcW w:w="850" w:type="dxa"/>
            <w:shd w:val="clear" w:color="auto" w:fill="D0C7C4"/>
          </w:tcPr>
          <w:p w14:paraId="197F9AE6" w14:textId="77777777" w:rsidR="000C1B69" w:rsidRPr="002F2679" w:rsidRDefault="000C1B69" w:rsidP="0092750F">
            <w:pPr>
              <w:rPr>
                <w:caps/>
              </w:rPr>
            </w:pPr>
          </w:p>
        </w:tc>
        <w:tc>
          <w:tcPr>
            <w:tcW w:w="7257" w:type="dxa"/>
            <w:shd w:val="clear" w:color="auto" w:fill="D0C7C4"/>
          </w:tcPr>
          <w:p w14:paraId="4F662E43" w14:textId="77777777" w:rsidR="000C1B69" w:rsidRPr="002F2679" w:rsidRDefault="000C1B69" w:rsidP="0092750F">
            <w:pPr>
              <w:rPr>
                <w:caps/>
              </w:rPr>
            </w:pPr>
          </w:p>
        </w:tc>
        <w:tc>
          <w:tcPr>
            <w:tcW w:w="3005" w:type="dxa"/>
            <w:shd w:val="clear" w:color="auto" w:fill="D0C7C4"/>
          </w:tcPr>
          <w:p w14:paraId="1E09AFD6" w14:textId="77777777" w:rsidR="000C1B69" w:rsidRPr="00DD107D" w:rsidRDefault="000C1B69" w:rsidP="0092750F"/>
        </w:tc>
        <w:tc>
          <w:tcPr>
            <w:tcW w:w="967" w:type="dxa"/>
            <w:shd w:val="clear" w:color="auto" w:fill="D0C7C4"/>
          </w:tcPr>
          <w:p w14:paraId="74AB6301" w14:textId="77777777" w:rsidR="000C1B69" w:rsidRPr="002F2679" w:rsidRDefault="000C1B69" w:rsidP="0092750F">
            <w:pPr>
              <w:rPr>
                <w:caps/>
              </w:rPr>
            </w:pPr>
          </w:p>
        </w:tc>
      </w:tr>
      <w:tr w:rsidR="000C1B69" w:rsidRPr="002F2679" w14:paraId="468585BF" w14:textId="77777777" w:rsidTr="00A417EA">
        <w:trPr>
          <w:trHeight w:val="2608"/>
        </w:trPr>
        <w:tc>
          <w:tcPr>
            <w:tcW w:w="850" w:type="dxa"/>
            <w:shd w:val="clear" w:color="auto" w:fill="D0C7C4"/>
          </w:tcPr>
          <w:p w14:paraId="61E1B93F" w14:textId="77777777" w:rsidR="000C1B69" w:rsidRPr="002F2679" w:rsidRDefault="000C1B69" w:rsidP="0092750F">
            <w:pPr>
              <w:rPr>
                <w:caps/>
              </w:rPr>
            </w:pPr>
          </w:p>
        </w:tc>
        <w:tc>
          <w:tcPr>
            <w:tcW w:w="7257" w:type="dxa"/>
            <w:shd w:val="clear" w:color="auto" w:fill="D0C7C4"/>
          </w:tcPr>
          <w:p w14:paraId="2B8C91B6" w14:textId="77777777" w:rsidR="000C1B69" w:rsidRDefault="000C1B69" w:rsidP="0092750F">
            <w:pPr>
              <w:pStyle w:val="ICANormal"/>
              <w:rPr>
                <w:b/>
                <w:caps/>
                <w:sz w:val="24"/>
              </w:rPr>
            </w:pPr>
            <w:r w:rsidRPr="002F2679">
              <w:rPr>
                <w:b/>
                <w:caps/>
                <w:sz w:val="24"/>
              </w:rPr>
              <w:t>ICAEW</w:t>
            </w:r>
            <w:r>
              <w:rPr>
                <w:b/>
                <w:caps/>
                <w:sz w:val="24"/>
              </w:rPr>
              <w:t xml:space="preserve"> </w:t>
            </w:r>
          </w:p>
          <w:p w14:paraId="4ABEB534" w14:textId="77777777" w:rsidR="000C1B69" w:rsidRPr="004B45F7" w:rsidRDefault="000C1B69" w:rsidP="004B45F7">
            <w:pPr>
              <w:pStyle w:val="ICANormal"/>
              <w:rPr>
                <w:bCs/>
                <w:caps/>
                <w:sz w:val="24"/>
              </w:rPr>
            </w:pPr>
            <w:r w:rsidRPr="00DA63F1">
              <w:rPr>
                <w:bCs/>
                <w:caps/>
                <w:sz w:val="24"/>
              </w:rPr>
              <w:t>Technical Advisory service</w:t>
            </w:r>
          </w:p>
          <w:p w14:paraId="113A6DAD" w14:textId="77777777" w:rsidR="000C1B69" w:rsidRPr="002F2679" w:rsidRDefault="000C1B69" w:rsidP="0092750F">
            <w:pPr>
              <w:pStyle w:val="ICANormal"/>
              <w:spacing w:before="60"/>
              <w:rPr>
                <w:caps/>
                <w:sz w:val="24"/>
              </w:rPr>
            </w:pPr>
          </w:p>
        </w:tc>
        <w:tc>
          <w:tcPr>
            <w:tcW w:w="3005" w:type="dxa"/>
            <w:shd w:val="clear" w:color="auto" w:fill="D0C7C4"/>
          </w:tcPr>
          <w:p w14:paraId="098E3AE7" w14:textId="77777777" w:rsidR="000C1B69" w:rsidRPr="00DD107D" w:rsidRDefault="000C1B69" w:rsidP="0092750F">
            <w:pPr>
              <w:pStyle w:val="ICANormal"/>
              <w:jc w:val="right"/>
              <w:rPr>
                <w:sz w:val="16"/>
                <w:szCs w:val="16"/>
              </w:rPr>
            </w:pPr>
            <w:r w:rsidRPr="00DD107D">
              <w:rPr>
                <w:noProof/>
                <w:lang w:eastAsia="zh-TW"/>
              </w:rPr>
              <w:drawing>
                <wp:inline distT="0" distB="0" distL="0" distR="0" wp14:anchorId="32FFB91D" wp14:editId="176D5385">
                  <wp:extent cx="718820" cy="1151890"/>
                  <wp:effectExtent l="0" t="0" r="0" b="0"/>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603" t="16851" r="22138" b="17215"/>
                          <a:stretch/>
                        </pic:blipFill>
                        <pic:spPr bwMode="auto">
                          <a:xfrm>
                            <a:off x="0" y="0"/>
                            <a:ext cx="718820" cy="11518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67" w:type="dxa"/>
            <w:shd w:val="clear" w:color="auto" w:fill="D0C7C4"/>
          </w:tcPr>
          <w:p w14:paraId="3076541C" w14:textId="77777777" w:rsidR="000C1B69" w:rsidRPr="002F2679" w:rsidRDefault="000C1B69" w:rsidP="0092750F">
            <w:pPr>
              <w:pStyle w:val="ICANormal"/>
              <w:rPr>
                <w:caps/>
                <w:sz w:val="16"/>
                <w:szCs w:val="16"/>
              </w:rPr>
            </w:pPr>
          </w:p>
        </w:tc>
      </w:tr>
      <w:tr w:rsidR="000C1B69" w:rsidRPr="002F2679" w14:paraId="2B726030" w14:textId="77777777" w:rsidTr="00A417EA">
        <w:trPr>
          <w:trHeight w:val="414"/>
        </w:trPr>
        <w:tc>
          <w:tcPr>
            <w:tcW w:w="850" w:type="dxa"/>
            <w:shd w:val="clear" w:color="auto" w:fill="D0C7C4"/>
            <w:vAlign w:val="bottom"/>
          </w:tcPr>
          <w:p w14:paraId="0B68C67C" w14:textId="77777777" w:rsidR="000C1B69" w:rsidRPr="002F2679" w:rsidRDefault="000C1B69" w:rsidP="0092750F">
            <w:pPr>
              <w:rPr>
                <w:caps/>
              </w:rPr>
            </w:pPr>
          </w:p>
        </w:tc>
        <w:tc>
          <w:tcPr>
            <w:tcW w:w="7257" w:type="dxa"/>
            <w:shd w:val="clear" w:color="auto" w:fill="D0C7C4"/>
            <w:vAlign w:val="bottom"/>
          </w:tcPr>
          <w:p w14:paraId="4D932B35" w14:textId="77777777" w:rsidR="00DA63F1" w:rsidRPr="00DA63F1" w:rsidRDefault="00E92ACB" w:rsidP="00DA63F1">
            <w:pPr>
              <w:pStyle w:val="ICANormal"/>
              <w:spacing w:before="60"/>
              <w:rPr>
                <w:b/>
                <w:bCs/>
                <w:caps/>
                <w:sz w:val="24"/>
              </w:rPr>
            </w:pPr>
            <w:bookmarkStart w:id="0" w:name="Title"/>
            <w:bookmarkEnd w:id="0"/>
            <w:r>
              <w:rPr>
                <w:b/>
                <w:bCs/>
                <w:caps/>
                <w:sz w:val="24"/>
              </w:rPr>
              <w:t>Are you ready to go into practice checklist</w:t>
            </w:r>
          </w:p>
          <w:p w14:paraId="21ED77E2" w14:textId="77777777" w:rsidR="000C1B69" w:rsidRPr="00044BF7" w:rsidRDefault="000C1B69" w:rsidP="0092750F">
            <w:pPr>
              <w:pStyle w:val="ICANormal"/>
              <w:rPr>
                <w:b/>
                <w:caps/>
                <w:sz w:val="32"/>
                <w:szCs w:val="32"/>
              </w:rPr>
            </w:pPr>
          </w:p>
        </w:tc>
        <w:tc>
          <w:tcPr>
            <w:tcW w:w="3005" w:type="dxa"/>
            <w:shd w:val="clear" w:color="auto" w:fill="D0C7C4"/>
            <w:vAlign w:val="bottom"/>
          </w:tcPr>
          <w:p w14:paraId="2E1CD499" w14:textId="77777777" w:rsidR="000C1B69" w:rsidRDefault="00CB0897" w:rsidP="00E92ACB">
            <w:pPr>
              <w:pStyle w:val="ICANormal"/>
              <w:spacing w:after="40"/>
              <w:jc w:val="right"/>
              <w:rPr>
                <w:sz w:val="16"/>
                <w:szCs w:val="16"/>
              </w:rPr>
            </w:pPr>
            <w:bookmarkStart w:id="1" w:name="Date"/>
            <w:r>
              <w:rPr>
                <w:sz w:val="16"/>
                <w:szCs w:val="16"/>
              </w:rPr>
              <w:t>Issued</w:t>
            </w:r>
            <w:r w:rsidR="00B17D68">
              <w:rPr>
                <w:sz w:val="16"/>
                <w:szCs w:val="16"/>
              </w:rPr>
              <w:t xml:space="preserve"> </w:t>
            </w:r>
            <w:r w:rsidR="00E92ACB">
              <w:rPr>
                <w:sz w:val="16"/>
                <w:szCs w:val="16"/>
              </w:rPr>
              <w:t>August</w:t>
            </w:r>
            <w:r w:rsidR="000C1B69">
              <w:rPr>
                <w:sz w:val="16"/>
                <w:szCs w:val="16"/>
              </w:rPr>
              <w:t xml:space="preserve"> </w:t>
            </w:r>
            <w:r w:rsidR="00E87504">
              <w:rPr>
                <w:sz w:val="16"/>
                <w:szCs w:val="16"/>
              </w:rPr>
              <w:t>201</w:t>
            </w:r>
            <w:r w:rsidR="00E92ACB">
              <w:rPr>
                <w:sz w:val="16"/>
                <w:szCs w:val="16"/>
              </w:rPr>
              <w:t>8</w:t>
            </w:r>
          </w:p>
          <w:p w14:paraId="2314AD9A" w14:textId="66347094" w:rsidR="000C1B69" w:rsidRPr="00DD107D" w:rsidRDefault="00CB0897" w:rsidP="00483EEE">
            <w:pPr>
              <w:pStyle w:val="ICANormal"/>
              <w:spacing w:after="40"/>
              <w:jc w:val="right"/>
              <w:rPr>
                <w:sz w:val="16"/>
                <w:szCs w:val="16"/>
              </w:rPr>
            </w:pPr>
            <w:r>
              <w:rPr>
                <w:sz w:val="16"/>
                <w:szCs w:val="16"/>
              </w:rPr>
              <w:t>Last Reviewed</w:t>
            </w:r>
            <w:r w:rsidR="000C1B69">
              <w:rPr>
                <w:sz w:val="16"/>
                <w:szCs w:val="16"/>
              </w:rPr>
              <w:t xml:space="preserve"> </w:t>
            </w:r>
            <w:bookmarkEnd w:id="1"/>
            <w:r w:rsidR="00CB7277">
              <w:rPr>
                <w:sz w:val="16"/>
                <w:szCs w:val="16"/>
              </w:rPr>
              <w:t>October</w:t>
            </w:r>
            <w:r w:rsidR="00274F22">
              <w:rPr>
                <w:sz w:val="16"/>
                <w:szCs w:val="16"/>
              </w:rPr>
              <w:t xml:space="preserve"> 2025</w:t>
            </w:r>
          </w:p>
        </w:tc>
        <w:tc>
          <w:tcPr>
            <w:tcW w:w="967" w:type="dxa"/>
            <w:shd w:val="clear" w:color="auto" w:fill="D0C7C4"/>
            <w:vAlign w:val="bottom"/>
          </w:tcPr>
          <w:p w14:paraId="6B54B360" w14:textId="77777777" w:rsidR="000C1B69" w:rsidRPr="002F2679" w:rsidRDefault="000C1B69" w:rsidP="0092750F">
            <w:pPr>
              <w:pStyle w:val="ICANormal"/>
              <w:rPr>
                <w:caps/>
                <w:sz w:val="16"/>
                <w:szCs w:val="16"/>
              </w:rPr>
            </w:pPr>
          </w:p>
        </w:tc>
      </w:tr>
      <w:tr w:rsidR="000C1B69" w:rsidRPr="002F2679" w14:paraId="7BAD313C" w14:textId="77777777" w:rsidTr="00A417EA">
        <w:trPr>
          <w:trHeight w:val="397"/>
        </w:trPr>
        <w:tc>
          <w:tcPr>
            <w:tcW w:w="850" w:type="dxa"/>
            <w:shd w:val="clear" w:color="auto" w:fill="D0C7C4"/>
            <w:vAlign w:val="bottom"/>
          </w:tcPr>
          <w:p w14:paraId="5DE0E415" w14:textId="77777777" w:rsidR="000C1B69" w:rsidRPr="002F2679" w:rsidRDefault="000C1B69" w:rsidP="0092750F">
            <w:pPr>
              <w:rPr>
                <w:caps/>
              </w:rPr>
            </w:pPr>
          </w:p>
        </w:tc>
        <w:tc>
          <w:tcPr>
            <w:tcW w:w="7257" w:type="dxa"/>
            <w:shd w:val="clear" w:color="auto" w:fill="D0C7C4"/>
            <w:vAlign w:val="bottom"/>
          </w:tcPr>
          <w:p w14:paraId="179AE0E2" w14:textId="77777777" w:rsidR="000C1B69" w:rsidRPr="002F2679" w:rsidRDefault="000C1B69" w:rsidP="0092750F">
            <w:pPr>
              <w:rPr>
                <w:caps/>
              </w:rPr>
            </w:pPr>
          </w:p>
        </w:tc>
        <w:tc>
          <w:tcPr>
            <w:tcW w:w="3005" w:type="dxa"/>
            <w:shd w:val="clear" w:color="auto" w:fill="D0C7C4"/>
            <w:vAlign w:val="bottom"/>
          </w:tcPr>
          <w:p w14:paraId="2BB1FD1E" w14:textId="77777777" w:rsidR="000C1B69" w:rsidRPr="00DD107D" w:rsidRDefault="000C1B69" w:rsidP="0092750F"/>
        </w:tc>
        <w:tc>
          <w:tcPr>
            <w:tcW w:w="967" w:type="dxa"/>
            <w:shd w:val="clear" w:color="auto" w:fill="D0C7C4"/>
            <w:vAlign w:val="bottom"/>
          </w:tcPr>
          <w:p w14:paraId="66483885" w14:textId="77777777" w:rsidR="000C1B69" w:rsidRPr="002F2679" w:rsidRDefault="000C1B69" w:rsidP="0092750F">
            <w:pPr>
              <w:rPr>
                <w:caps/>
              </w:rPr>
            </w:pPr>
          </w:p>
        </w:tc>
      </w:tr>
    </w:tbl>
    <w:p w14:paraId="3E46D2B8" w14:textId="77777777" w:rsidR="000C1B69" w:rsidRDefault="000C1B69" w:rsidP="000C1B69">
      <w:pPr>
        <w:pStyle w:val="ICANormal"/>
      </w:pPr>
    </w:p>
    <w:p w14:paraId="52A34A5A" w14:textId="77777777" w:rsidR="00E92ACB" w:rsidRDefault="001262DD" w:rsidP="00A0799D">
      <w:pPr>
        <w:pStyle w:val="Heading2"/>
      </w:pPr>
      <w:r>
        <w:t>Introduction</w:t>
      </w:r>
    </w:p>
    <w:p w14:paraId="2A607E1C" w14:textId="04CFB86F" w:rsidR="001262DD" w:rsidRDefault="001262DD" w:rsidP="001262DD">
      <w:r>
        <w:t xml:space="preserve">The </w:t>
      </w:r>
      <w:hyperlink r:id="rId8" w:history="1">
        <w:r w:rsidRPr="001262DD">
          <w:rPr>
            <w:rStyle w:val="Hyperlink"/>
          </w:rPr>
          <w:t>ICAEW statement on engaging in public practice</w:t>
        </w:r>
      </w:hyperlink>
      <w:r>
        <w:t xml:space="preserve"> clarifies when you will need a practising certificate and, by definition, when ICAEW considers you to be in practice</w:t>
      </w:r>
      <w:r w:rsidR="00B3063C">
        <w:t xml:space="preserve"> (this checklist is not part of your formal application for a practising certificate)</w:t>
      </w:r>
      <w:r w:rsidR="002941B1">
        <w:t>.</w:t>
      </w:r>
    </w:p>
    <w:p w14:paraId="52D2B0F7" w14:textId="77777777" w:rsidR="001262DD" w:rsidRDefault="001262DD" w:rsidP="001262DD"/>
    <w:p w14:paraId="4F46A6CB" w14:textId="299E7DF4" w:rsidR="00460A81" w:rsidRDefault="001262DD" w:rsidP="00460A81">
      <w:r>
        <w:t>It is important to ensure you are comfortable with the responsibilities and challenges of being in practice, that may be particularly appropriate if you have come from a non-practice background.</w:t>
      </w:r>
    </w:p>
    <w:p w14:paraId="1AB29694" w14:textId="77777777" w:rsidR="00B3063C" w:rsidRDefault="00B3063C" w:rsidP="00460A81"/>
    <w:p w14:paraId="3F5BA11A" w14:textId="149A2280" w:rsidR="00460A81" w:rsidRDefault="00B3063C" w:rsidP="002941B1">
      <w:r>
        <w:t>The purpose of this checklist is so that you can satisfy yourself that you are ready for practice and it is right for you</w:t>
      </w:r>
      <w:r w:rsidR="00A84807">
        <w:t>. It</w:t>
      </w:r>
      <w:r>
        <w:t xml:space="preserve"> should be read in conjunction with the </w:t>
      </w:r>
      <w:hyperlink r:id="rId9" w:history="1">
        <w:r w:rsidRPr="001262DD">
          <w:rPr>
            <w:rStyle w:val="Hyperlink"/>
          </w:rPr>
          <w:t>practice regulations</w:t>
        </w:r>
      </w:hyperlink>
      <w:r>
        <w:t xml:space="preserve"> and the </w:t>
      </w:r>
      <w:hyperlink r:id="rId10" w:history="1">
        <w:r>
          <w:rPr>
            <w:rStyle w:val="Hyperlink"/>
          </w:rPr>
          <w:t>ICAEW Code of Ethics</w:t>
        </w:r>
      </w:hyperlink>
      <w:r w:rsidR="002941B1">
        <w:t>.</w:t>
      </w:r>
    </w:p>
    <w:p w14:paraId="26D70CED" w14:textId="2E592060" w:rsidR="00460A81" w:rsidRDefault="00460A81" w:rsidP="00A0799D">
      <w:pPr>
        <w:pStyle w:val="Heading2"/>
      </w:pPr>
      <w:r>
        <w:t>Considerations</w:t>
      </w:r>
    </w:p>
    <w:p w14:paraId="7B6CECD8" w14:textId="34BB5125" w:rsidR="00B3063C" w:rsidRDefault="00B3063C" w:rsidP="002941B1">
      <w:r>
        <w:t>The following sections highlight key considerations when setting up an accountancy practice, although are not intended to provide an exhaustive list.</w:t>
      </w:r>
    </w:p>
    <w:p w14:paraId="7846103C" w14:textId="77777777" w:rsidR="00B3063C" w:rsidRPr="001262DD" w:rsidRDefault="00B3063C" w:rsidP="001262DD"/>
    <w:p w14:paraId="39925641" w14:textId="213BF99C" w:rsidR="00AB43F8" w:rsidRDefault="004B4773" w:rsidP="00A0799D">
      <w:pPr>
        <w:pStyle w:val="Heading3"/>
      </w:pPr>
      <w:r>
        <w:t>Practice structure, name, description and logos</w:t>
      </w:r>
    </w:p>
    <w:p w14:paraId="3E03D0CF" w14:textId="4BC68FC9" w:rsidR="00AB43F8" w:rsidRDefault="00B3063C" w:rsidP="00E92ACB">
      <w:r>
        <w:t xml:space="preserve">When setting up a practice, consideration should be given to the practice structure (ownership and management), name, description and whether </w:t>
      </w:r>
      <w:r w:rsidR="002941B1">
        <w:t>it can make use of ICAEW logos.</w:t>
      </w:r>
    </w:p>
    <w:p w14:paraId="547C48B4" w14:textId="77777777" w:rsidR="00373A24" w:rsidRDefault="00373A24" w:rsidP="00E92ACB"/>
    <w:tbl>
      <w:tblPr>
        <w:tblStyle w:val="TableGrid"/>
        <w:tblW w:w="0" w:type="auto"/>
        <w:tblLook w:val="04A0" w:firstRow="1" w:lastRow="0" w:firstColumn="1" w:lastColumn="0" w:noHBand="0" w:noVBand="1"/>
      </w:tblPr>
      <w:tblGrid>
        <w:gridCol w:w="8500"/>
        <w:gridCol w:w="516"/>
      </w:tblGrid>
      <w:tr w:rsidR="00373A24" w:rsidRPr="004B4517" w14:paraId="152EE9F2" w14:textId="77777777" w:rsidTr="00511DC8">
        <w:tc>
          <w:tcPr>
            <w:tcW w:w="8500" w:type="dxa"/>
            <w:shd w:val="clear" w:color="auto" w:fill="F2F2F2" w:themeFill="background1" w:themeFillShade="F2"/>
          </w:tcPr>
          <w:p w14:paraId="0E81F1FE" w14:textId="77777777" w:rsidR="00373A24" w:rsidRPr="00511DC8" w:rsidRDefault="00373A24" w:rsidP="00373A24">
            <w:pPr>
              <w:rPr>
                <w:rFonts w:cs="Arial"/>
                <w:b/>
                <w:bCs/>
              </w:rPr>
            </w:pPr>
            <w:r w:rsidRPr="00511DC8">
              <w:rPr>
                <w:rFonts w:cs="Arial"/>
                <w:b/>
                <w:bCs/>
              </w:rPr>
              <w:t>Which structure will you work through?</w:t>
            </w:r>
          </w:p>
          <w:p w14:paraId="2A2D4FB4" w14:textId="77777777" w:rsidR="00373A24" w:rsidRPr="00511DC8" w:rsidRDefault="00373A24" w:rsidP="00373A24">
            <w:pPr>
              <w:pStyle w:val="ListParagraph"/>
              <w:numPr>
                <w:ilvl w:val="0"/>
                <w:numId w:val="4"/>
              </w:numPr>
              <w:rPr>
                <w:rFonts w:cs="Arial"/>
              </w:rPr>
            </w:pPr>
            <w:r w:rsidRPr="00511DC8">
              <w:rPr>
                <w:rFonts w:cs="Arial"/>
              </w:rPr>
              <w:t>Sole practitioner</w:t>
            </w:r>
          </w:p>
          <w:p w14:paraId="2757693C" w14:textId="77777777" w:rsidR="00373A24" w:rsidRPr="00511DC8" w:rsidRDefault="00373A24" w:rsidP="00373A24">
            <w:pPr>
              <w:pStyle w:val="ListParagraph"/>
              <w:numPr>
                <w:ilvl w:val="0"/>
                <w:numId w:val="4"/>
              </w:numPr>
              <w:rPr>
                <w:rFonts w:cs="Arial"/>
              </w:rPr>
            </w:pPr>
            <w:r w:rsidRPr="00511DC8">
              <w:rPr>
                <w:rFonts w:cs="Arial"/>
              </w:rPr>
              <w:t>Partnership</w:t>
            </w:r>
          </w:p>
          <w:p w14:paraId="5F6CE927" w14:textId="36FC2EA1" w:rsidR="00373A24" w:rsidRPr="00511DC8" w:rsidRDefault="00373A24" w:rsidP="00373A24">
            <w:pPr>
              <w:pStyle w:val="ListParagraph"/>
              <w:numPr>
                <w:ilvl w:val="0"/>
                <w:numId w:val="4"/>
              </w:numPr>
              <w:rPr>
                <w:rFonts w:cs="Arial"/>
              </w:rPr>
            </w:pPr>
            <w:r w:rsidRPr="00511DC8">
              <w:rPr>
                <w:rFonts w:cs="Arial"/>
              </w:rPr>
              <w:t>Limited company</w:t>
            </w:r>
          </w:p>
          <w:p w14:paraId="70396C82" w14:textId="77777777" w:rsidR="00373A24" w:rsidRPr="00511DC8" w:rsidRDefault="00373A24" w:rsidP="00373A24">
            <w:pPr>
              <w:pStyle w:val="ListParagraph"/>
              <w:numPr>
                <w:ilvl w:val="0"/>
                <w:numId w:val="4"/>
              </w:numPr>
              <w:rPr>
                <w:rFonts w:cs="Arial"/>
              </w:rPr>
            </w:pPr>
            <w:r w:rsidRPr="00511DC8">
              <w:rPr>
                <w:rFonts w:cs="Arial"/>
              </w:rPr>
              <w:t>Limited liability partnership (LLP)</w:t>
            </w:r>
          </w:p>
          <w:p w14:paraId="6604B448" w14:textId="77777777" w:rsidR="00373A24" w:rsidRPr="00511DC8" w:rsidRDefault="00373A24" w:rsidP="00373A24">
            <w:pPr>
              <w:rPr>
                <w:rFonts w:cs="Arial"/>
              </w:rPr>
            </w:pPr>
          </w:p>
          <w:p w14:paraId="7ED64F25" w14:textId="05F7AE8A" w:rsidR="00373A24" w:rsidRPr="00511DC8" w:rsidRDefault="00373A24" w:rsidP="00373A24">
            <w:pPr>
              <w:rPr>
                <w:rFonts w:cs="Arial"/>
              </w:rPr>
            </w:pPr>
            <w:r w:rsidRPr="00511DC8">
              <w:rPr>
                <w:rFonts w:cs="Arial"/>
              </w:rPr>
              <w:t xml:space="preserve">The </w:t>
            </w:r>
            <w:hyperlink r:id="rId11" w:anchor="regulations" w:history="1">
              <w:r w:rsidRPr="00511DC8">
                <w:rPr>
                  <w:rStyle w:val="Hyperlink"/>
                  <w:rFonts w:cs="Arial"/>
                </w:rPr>
                <w:t>audit regulations</w:t>
              </w:r>
            </w:hyperlink>
            <w:r w:rsidRPr="00511DC8">
              <w:rPr>
                <w:rFonts w:cs="Arial"/>
              </w:rPr>
              <w:t xml:space="preserve"> require a registered auditor to be controlled in a certain way. Model articles (for both private and public companies) have been drafted to aid compliance with these requirements and are available from the </w:t>
            </w:r>
            <w:hyperlink r:id="rId12" w:history="1">
              <w:r w:rsidR="00B04794" w:rsidRPr="00B04794">
                <w:rPr>
                  <w:rStyle w:val="Hyperlink"/>
                  <w:rFonts w:cs="Arial"/>
                </w:rPr>
                <w:t>Audit regulations and guidance</w:t>
              </w:r>
            </w:hyperlink>
            <w:r w:rsidRPr="00511DC8">
              <w:rPr>
                <w:rFonts w:cs="Arial"/>
              </w:rPr>
              <w:t xml:space="preserve"> webpage.</w:t>
            </w:r>
          </w:p>
          <w:p w14:paraId="191DA2BF" w14:textId="3EFE0220" w:rsidR="004B4517" w:rsidRPr="00511DC8" w:rsidRDefault="004B4517" w:rsidP="00373A24">
            <w:pPr>
              <w:rPr>
                <w:rFonts w:cs="Arial"/>
              </w:rPr>
            </w:pPr>
          </w:p>
        </w:tc>
        <w:sdt>
          <w:sdtPr>
            <w:rPr>
              <w:rFonts w:cs="Arial"/>
            </w:rPr>
            <w:id w:val="-700784888"/>
            <w14:checkbox>
              <w14:checked w14:val="0"/>
              <w14:checkedState w14:val="2612" w14:font="MS Gothic"/>
              <w14:uncheckedState w14:val="2610" w14:font="MS Gothic"/>
            </w14:checkbox>
          </w:sdtPr>
          <w:sdtEndPr/>
          <w:sdtContent>
            <w:tc>
              <w:tcPr>
                <w:tcW w:w="516" w:type="dxa"/>
                <w:shd w:val="clear" w:color="auto" w:fill="F2F2F2" w:themeFill="background1" w:themeFillShade="F2"/>
              </w:tcPr>
              <w:p w14:paraId="20F94092" w14:textId="4A3B69A8" w:rsidR="00373A24" w:rsidRPr="00511DC8" w:rsidRDefault="00373A24" w:rsidP="00E92ACB">
                <w:pPr>
                  <w:rPr>
                    <w:rFonts w:cs="Arial"/>
                  </w:rPr>
                </w:pPr>
                <w:r w:rsidRPr="00511DC8">
                  <w:rPr>
                    <w:rFonts w:ascii="Segoe UI Symbol" w:eastAsia="MS Gothic" w:hAnsi="Segoe UI Symbol" w:cs="Segoe UI Symbol"/>
                  </w:rPr>
                  <w:t>☐</w:t>
                </w:r>
              </w:p>
            </w:tc>
          </w:sdtContent>
        </w:sdt>
      </w:tr>
    </w:tbl>
    <w:p w14:paraId="242216AF" w14:textId="77777777" w:rsidR="00373A24" w:rsidRDefault="00373A24" w:rsidP="00E92ACB"/>
    <w:p w14:paraId="3660843D" w14:textId="64513276" w:rsidR="00373A24" w:rsidRDefault="00373A24">
      <w:pPr>
        <w:spacing w:line="240" w:lineRule="auto"/>
      </w:pPr>
      <w:r>
        <w:br w:type="page"/>
      </w:r>
    </w:p>
    <w:tbl>
      <w:tblPr>
        <w:tblStyle w:val="TableGrid"/>
        <w:tblW w:w="0" w:type="auto"/>
        <w:tblLook w:val="04A0" w:firstRow="1" w:lastRow="0" w:firstColumn="1" w:lastColumn="0" w:noHBand="0" w:noVBand="1"/>
      </w:tblPr>
      <w:tblGrid>
        <w:gridCol w:w="8500"/>
        <w:gridCol w:w="516"/>
      </w:tblGrid>
      <w:tr w:rsidR="00DC1110" w14:paraId="01B5CAFF" w14:textId="77777777" w:rsidTr="00535D86">
        <w:tc>
          <w:tcPr>
            <w:tcW w:w="8500" w:type="dxa"/>
          </w:tcPr>
          <w:p w14:paraId="7801BDC0" w14:textId="77777777" w:rsidR="00DC1110" w:rsidRPr="004B4517" w:rsidRDefault="00DC1110" w:rsidP="00DC1110">
            <w:pPr>
              <w:rPr>
                <w:rFonts w:cs="Arial"/>
                <w:b/>
                <w:bCs/>
              </w:rPr>
            </w:pPr>
            <w:r w:rsidRPr="004B4517">
              <w:rPr>
                <w:rFonts w:cs="Arial"/>
                <w:b/>
                <w:bCs/>
              </w:rPr>
              <w:lastRenderedPageBreak/>
              <w:t>Who will be the principals?</w:t>
            </w:r>
          </w:p>
          <w:p w14:paraId="75D956B5" w14:textId="77777777" w:rsidR="00DC1110" w:rsidRPr="004B4517" w:rsidRDefault="00DC1110" w:rsidP="00DC1110">
            <w:pPr>
              <w:pStyle w:val="ListParagraph"/>
              <w:numPr>
                <w:ilvl w:val="0"/>
                <w:numId w:val="5"/>
              </w:numPr>
              <w:rPr>
                <w:rFonts w:cs="Arial"/>
              </w:rPr>
            </w:pPr>
            <w:r w:rsidRPr="004B4517">
              <w:rPr>
                <w:rFonts w:cs="Arial"/>
              </w:rPr>
              <w:t>You</w:t>
            </w:r>
          </w:p>
          <w:p w14:paraId="2DE05B43" w14:textId="77777777" w:rsidR="00DC1110" w:rsidRPr="004B4517" w:rsidRDefault="00DC1110" w:rsidP="00DC1110">
            <w:pPr>
              <w:pStyle w:val="ListParagraph"/>
              <w:numPr>
                <w:ilvl w:val="0"/>
                <w:numId w:val="5"/>
              </w:numPr>
              <w:rPr>
                <w:rFonts w:cs="Arial"/>
              </w:rPr>
            </w:pPr>
            <w:r w:rsidRPr="004B4517">
              <w:rPr>
                <w:rFonts w:cs="Arial"/>
              </w:rPr>
              <w:t>Your spouse, family, friend (chartered accountants and non-chartered accountants)</w:t>
            </w:r>
          </w:p>
          <w:p w14:paraId="1319D669" w14:textId="77777777" w:rsidR="00DC1110" w:rsidRPr="004B4517" w:rsidRDefault="00DC1110" w:rsidP="00DC1110">
            <w:pPr>
              <w:pStyle w:val="ListParagraph"/>
              <w:numPr>
                <w:ilvl w:val="0"/>
                <w:numId w:val="5"/>
              </w:numPr>
              <w:rPr>
                <w:rFonts w:cs="Arial"/>
              </w:rPr>
            </w:pPr>
            <w:r w:rsidRPr="004B4517">
              <w:rPr>
                <w:rFonts w:cs="Arial"/>
              </w:rPr>
              <w:t>Member(s) of other professional bodies</w:t>
            </w:r>
          </w:p>
          <w:p w14:paraId="61432F0B" w14:textId="77777777" w:rsidR="00DC1110" w:rsidRPr="004B4517" w:rsidRDefault="00DC1110" w:rsidP="00DC1110">
            <w:pPr>
              <w:pStyle w:val="ListParagraph"/>
              <w:numPr>
                <w:ilvl w:val="0"/>
                <w:numId w:val="5"/>
              </w:numPr>
              <w:rPr>
                <w:rFonts w:cs="Arial"/>
              </w:rPr>
            </w:pPr>
            <w:r w:rsidRPr="004B4517">
              <w:rPr>
                <w:rFonts w:cs="Arial"/>
              </w:rPr>
              <w:t>Others</w:t>
            </w:r>
          </w:p>
          <w:p w14:paraId="69709BF9" w14:textId="77777777" w:rsidR="00DC1110" w:rsidRPr="004B4517" w:rsidRDefault="00DC1110" w:rsidP="00DC1110">
            <w:pPr>
              <w:rPr>
                <w:rFonts w:cs="Arial"/>
              </w:rPr>
            </w:pPr>
          </w:p>
          <w:p w14:paraId="201C9DA3" w14:textId="0F2B7B55" w:rsidR="00DC1110" w:rsidRPr="004B4517" w:rsidRDefault="00DC1110" w:rsidP="00B04794">
            <w:pPr>
              <w:rPr>
                <w:rFonts w:cs="Arial"/>
              </w:rPr>
            </w:pPr>
            <w:r w:rsidRPr="004B4517">
              <w:rPr>
                <w:rFonts w:cs="Arial"/>
              </w:rPr>
              <w:t xml:space="preserve">The definition of ‘principals’ is taken from the </w:t>
            </w:r>
            <w:hyperlink r:id="rId13" w:history="1">
              <w:r w:rsidRPr="004B4517">
                <w:rPr>
                  <w:rStyle w:val="Hyperlink"/>
                  <w:rFonts w:cs="Arial"/>
                </w:rPr>
                <w:t>ICAEW statement on engaging in public practice</w:t>
              </w:r>
            </w:hyperlink>
            <w:r w:rsidRPr="004B4517">
              <w:rPr>
                <w:rFonts w:cs="Arial"/>
              </w:rPr>
              <w:t xml:space="preserve">. A member who is regarded as being in practice will require a practising certificate. Any non-member principals in regulated firms (audit, DPB, insolvency or probate) or a firm using the description ‘Chartered Accountants’ must become an </w:t>
            </w:r>
            <w:hyperlink r:id="rId14" w:history="1">
              <w:r w:rsidRPr="004B4517">
                <w:rPr>
                  <w:rStyle w:val="Hyperlink"/>
                  <w:rFonts w:cs="Arial"/>
                </w:rPr>
                <w:t>ICAEW affiliate</w:t>
              </w:r>
            </w:hyperlink>
            <w:r w:rsidRPr="004B4517">
              <w:rPr>
                <w:rFonts w:cs="Arial"/>
              </w:rPr>
              <w:t>.</w:t>
            </w:r>
          </w:p>
          <w:p w14:paraId="04D84B90" w14:textId="77777777" w:rsidR="00DC1110" w:rsidRPr="004B4517" w:rsidRDefault="00DC1110" w:rsidP="00DC1110">
            <w:pPr>
              <w:rPr>
                <w:rFonts w:cs="Arial"/>
              </w:rPr>
            </w:pPr>
          </w:p>
          <w:p w14:paraId="7EA73307" w14:textId="0F0496E5" w:rsidR="00DC1110" w:rsidRDefault="00DC1110" w:rsidP="00DC1110">
            <w:pPr>
              <w:rPr>
                <w:rFonts w:cs="Arial"/>
              </w:rPr>
            </w:pPr>
            <w:r w:rsidRPr="004B4517">
              <w:rPr>
                <w:rFonts w:cs="Arial"/>
              </w:rPr>
              <w:t>In accordance with regulation 26 of The Money Laundering, Terrorist Financing and Transfer of Funds (Information on the Payer) Regulations 2017, any new individual who wants to be a beneficial owner, officer or manager (</w:t>
            </w:r>
            <w:hyperlink r:id="rId15" w:history="1">
              <w:r w:rsidRPr="004B4517">
                <w:rPr>
                  <w:rStyle w:val="Hyperlink"/>
                  <w:rFonts w:cs="Arial"/>
                </w:rPr>
                <w:t>BOOM</w:t>
              </w:r>
            </w:hyperlink>
            <w:r w:rsidRPr="004B4517">
              <w:rPr>
                <w:rFonts w:cs="Arial"/>
              </w:rPr>
              <w:t xml:space="preserve">) in one of our supervised firms must be approved by ICAEW. ICAEW can only approve a BOOM if that individual has no relevant unspent criminal convictions. Once we are notified about your practice we will write to you requesting an original copy of the individual </w:t>
            </w:r>
            <w:hyperlink r:id="rId16" w:history="1">
              <w:r w:rsidRPr="004B4517">
                <w:rPr>
                  <w:rStyle w:val="Hyperlink"/>
                  <w:rFonts w:cs="Arial"/>
                </w:rPr>
                <w:t>criminal record check certificate</w:t>
              </w:r>
            </w:hyperlink>
            <w:r w:rsidRPr="004B4517">
              <w:rPr>
                <w:rFonts w:cs="Arial"/>
              </w:rPr>
              <w:t>. The basic level check is required.</w:t>
            </w:r>
          </w:p>
          <w:p w14:paraId="169B250D" w14:textId="7EB6EC6C" w:rsidR="004B4517" w:rsidRPr="004B4517" w:rsidRDefault="004B4517" w:rsidP="00DC1110">
            <w:pPr>
              <w:rPr>
                <w:rFonts w:cs="Arial"/>
              </w:rPr>
            </w:pPr>
          </w:p>
        </w:tc>
        <w:tc>
          <w:tcPr>
            <w:tcW w:w="516" w:type="dxa"/>
          </w:tcPr>
          <w:sdt>
            <w:sdtPr>
              <w:rPr>
                <w:rFonts w:cs="Arial"/>
              </w:rPr>
              <w:id w:val="1466077536"/>
              <w14:checkbox>
                <w14:checked w14:val="0"/>
                <w14:checkedState w14:val="2612" w14:font="MS Gothic"/>
                <w14:uncheckedState w14:val="2610" w14:font="MS Gothic"/>
              </w14:checkbox>
            </w:sdtPr>
            <w:sdtEndPr/>
            <w:sdtContent>
              <w:p w14:paraId="08062158" w14:textId="73663120" w:rsidR="00CF65C2" w:rsidRPr="004B4517" w:rsidRDefault="005F2B04" w:rsidP="00CF65C2">
                <w:pPr>
                  <w:jc w:val="center"/>
                  <w:rPr>
                    <w:rFonts w:cs="Arial"/>
                  </w:rPr>
                </w:pPr>
                <w:r>
                  <w:rPr>
                    <w:rFonts w:ascii="MS Gothic" w:eastAsia="MS Gothic" w:hAnsi="MS Gothic" w:cs="Arial" w:hint="eastAsia"/>
                  </w:rPr>
                  <w:t>☐</w:t>
                </w:r>
              </w:p>
            </w:sdtContent>
          </w:sdt>
          <w:p w14:paraId="6E39F486" w14:textId="77777777" w:rsidR="00CF65C2" w:rsidRPr="004B4517" w:rsidRDefault="00CF65C2" w:rsidP="00CF65C2">
            <w:pPr>
              <w:jc w:val="center"/>
              <w:rPr>
                <w:rFonts w:cs="Arial"/>
              </w:rPr>
            </w:pPr>
          </w:p>
          <w:p w14:paraId="4066A46D" w14:textId="77777777" w:rsidR="00CF65C2" w:rsidRPr="004B4517" w:rsidRDefault="00CF65C2" w:rsidP="00CF65C2">
            <w:pPr>
              <w:jc w:val="center"/>
              <w:rPr>
                <w:rFonts w:cs="Arial"/>
              </w:rPr>
            </w:pPr>
          </w:p>
          <w:p w14:paraId="3CBECB3B" w14:textId="77777777" w:rsidR="00CF65C2" w:rsidRPr="004B4517" w:rsidRDefault="00CF65C2" w:rsidP="00CF65C2">
            <w:pPr>
              <w:jc w:val="center"/>
              <w:rPr>
                <w:rFonts w:cs="Arial"/>
              </w:rPr>
            </w:pPr>
          </w:p>
          <w:p w14:paraId="7E8763E8" w14:textId="77777777" w:rsidR="00CF65C2" w:rsidRPr="004B4517" w:rsidRDefault="00CF65C2" w:rsidP="00CF65C2">
            <w:pPr>
              <w:jc w:val="center"/>
              <w:rPr>
                <w:rFonts w:cs="Arial"/>
              </w:rPr>
            </w:pPr>
          </w:p>
          <w:p w14:paraId="2B10B471" w14:textId="77777777" w:rsidR="00CF65C2" w:rsidRPr="004B4517" w:rsidRDefault="00CF65C2" w:rsidP="00CF65C2">
            <w:pPr>
              <w:jc w:val="center"/>
              <w:rPr>
                <w:rFonts w:cs="Arial"/>
              </w:rPr>
            </w:pPr>
          </w:p>
          <w:p w14:paraId="117E13F7" w14:textId="77777777" w:rsidR="00CF65C2" w:rsidRPr="004B4517" w:rsidRDefault="00CF65C2" w:rsidP="00CF65C2">
            <w:pPr>
              <w:jc w:val="center"/>
              <w:rPr>
                <w:rFonts w:cs="Arial"/>
              </w:rPr>
            </w:pPr>
          </w:p>
          <w:sdt>
            <w:sdtPr>
              <w:rPr>
                <w:rFonts w:cs="Arial"/>
              </w:rPr>
              <w:id w:val="1879054200"/>
              <w14:checkbox>
                <w14:checked w14:val="0"/>
                <w14:checkedState w14:val="2612" w14:font="MS Gothic"/>
                <w14:uncheckedState w14:val="2610" w14:font="MS Gothic"/>
              </w14:checkbox>
            </w:sdtPr>
            <w:sdtEndPr/>
            <w:sdtContent>
              <w:p w14:paraId="3AE721F3" w14:textId="77777777" w:rsidR="00CF65C2" w:rsidRPr="004B4517" w:rsidRDefault="00CF65C2" w:rsidP="00CF65C2">
                <w:pPr>
                  <w:jc w:val="center"/>
                  <w:rPr>
                    <w:rFonts w:cs="Arial"/>
                  </w:rPr>
                </w:pPr>
                <w:r w:rsidRPr="004B4517">
                  <w:rPr>
                    <w:rFonts w:ascii="Segoe UI Symbol" w:eastAsia="MS Gothic" w:hAnsi="Segoe UI Symbol" w:cs="Segoe UI Symbol"/>
                  </w:rPr>
                  <w:t>☐</w:t>
                </w:r>
              </w:p>
            </w:sdtContent>
          </w:sdt>
          <w:p w14:paraId="500E4B62" w14:textId="77777777" w:rsidR="00CF65C2" w:rsidRPr="004B4517" w:rsidRDefault="00CF65C2" w:rsidP="00CF65C2">
            <w:pPr>
              <w:jc w:val="center"/>
              <w:rPr>
                <w:rFonts w:cs="Arial"/>
              </w:rPr>
            </w:pPr>
          </w:p>
          <w:p w14:paraId="4F6EBBDA" w14:textId="77777777" w:rsidR="00CF65C2" w:rsidRPr="004B4517" w:rsidRDefault="00CF65C2" w:rsidP="00CF65C2">
            <w:pPr>
              <w:jc w:val="center"/>
              <w:rPr>
                <w:rFonts w:cs="Arial"/>
              </w:rPr>
            </w:pPr>
          </w:p>
          <w:p w14:paraId="66297E73" w14:textId="77777777" w:rsidR="00CF65C2" w:rsidRPr="004B4517" w:rsidRDefault="00CF65C2" w:rsidP="00CF65C2">
            <w:pPr>
              <w:jc w:val="center"/>
              <w:rPr>
                <w:rFonts w:cs="Arial"/>
              </w:rPr>
            </w:pPr>
          </w:p>
          <w:p w14:paraId="60E4DCF7" w14:textId="77777777" w:rsidR="00CF65C2" w:rsidRPr="004B4517" w:rsidRDefault="00CF65C2" w:rsidP="00CF65C2">
            <w:pPr>
              <w:jc w:val="center"/>
              <w:rPr>
                <w:rFonts w:cs="Arial"/>
              </w:rPr>
            </w:pPr>
          </w:p>
          <w:p w14:paraId="1D180299" w14:textId="77777777" w:rsidR="00CF65C2" w:rsidRPr="004B4517" w:rsidRDefault="00CF65C2" w:rsidP="00CF65C2">
            <w:pPr>
              <w:jc w:val="center"/>
              <w:rPr>
                <w:rFonts w:cs="Arial"/>
              </w:rPr>
            </w:pPr>
          </w:p>
          <w:sdt>
            <w:sdtPr>
              <w:rPr>
                <w:rFonts w:cs="Arial"/>
              </w:rPr>
              <w:id w:val="-1614660835"/>
              <w14:checkbox>
                <w14:checked w14:val="0"/>
                <w14:checkedState w14:val="2612" w14:font="MS Gothic"/>
                <w14:uncheckedState w14:val="2610" w14:font="MS Gothic"/>
              </w14:checkbox>
            </w:sdtPr>
            <w:sdtEndPr/>
            <w:sdtContent>
              <w:p w14:paraId="46FDCBBE" w14:textId="77777777" w:rsidR="00CF65C2" w:rsidRPr="004B4517" w:rsidRDefault="00CF65C2" w:rsidP="00CF65C2">
                <w:pPr>
                  <w:jc w:val="center"/>
                  <w:rPr>
                    <w:rFonts w:cs="Arial"/>
                  </w:rPr>
                </w:pPr>
                <w:r w:rsidRPr="004B4517">
                  <w:rPr>
                    <w:rFonts w:ascii="Segoe UI Symbol" w:eastAsia="MS Gothic" w:hAnsi="Segoe UI Symbol" w:cs="Segoe UI Symbol"/>
                  </w:rPr>
                  <w:t>☐</w:t>
                </w:r>
              </w:p>
            </w:sdtContent>
          </w:sdt>
          <w:p w14:paraId="58E91ACB" w14:textId="6E9736B1" w:rsidR="00DC1110" w:rsidRPr="004B4517" w:rsidRDefault="00DC1110" w:rsidP="00DC1110">
            <w:pPr>
              <w:spacing w:line="240" w:lineRule="auto"/>
              <w:rPr>
                <w:rFonts w:cs="Arial"/>
              </w:rPr>
            </w:pPr>
          </w:p>
        </w:tc>
      </w:tr>
      <w:tr w:rsidR="00DC1110" w14:paraId="04FE3D0E" w14:textId="77777777" w:rsidTr="00511DC8">
        <w:tc>
          <w:tcPr>
            <w:tcW w:w="8500" w:type="dxa"/>
            <w:shd w:val="clear" w:color="auto" w:fill="F2F2F2" w:themeFill="background1" w:themeFillShade="F2"/>
          </w:tcPr>
          <w:p w14:paraId="7A30B188" w14:textId="77777777" w:rsidR="00DC1110" w:rsidRPr="004B4517" w:rsidRDefault="00DC1110" w:rsidP="00DC1110">
            <w:pPr>
              <w:rPr>
                <w:b/>
                <w:bCs/>
              </w:rPr>
            </w:pPr>
            <w:r w:rsidRPr="004B4517">
              <w:rPr>
                <w:b/>
                <w:bCs/>
              </w:rPr>
              <w:t>What will the name of the practice be?</w:t>
            </w:r>
          </w:p>
          <w:p w14:paraId="3917998E" w14:textId="409650C4" w:rsidR="00DC1110" w:rsidRPr="004B4517" w:rsidRDefault="00DC1110" w:rsidP="00DC1110">
            <w:r w:rsidRPr="004B4517">
              <w:t xml:space="preserve">A practice name must comply with legal requirements and be consistent with the dignity of the profession. It should not be misleading or imply superiority. Further guidance is available in the </w:t>
            </w:r>
            <w:hyperlink r:id="rId17" w:history="1">
              <w:r w:rsidR="00DA64DC">
                <w:rPr>
                  <w:rStyle w:val="Hyperlink"/>
                </w:rPr>
                <w:t>Practice names and letterheads</w:t>
              </w:r>
            </w:hyperlink>
            <w:r w:rsidR="00DA64DC">
              <w:t xml:space="preserve"> helpsheet.</w:t>
            </w:r>
          </w:p>
          <w:p w14:paraId="596AACD5" w14:textId="77777777" w:rsidR="00DC1110" w:rsidRPr="004B4517" w:rsidRDefault="00DC1110" w:rsidP="00DC1110"/>
          <w:p w14:paraId="6F5D85A8" w14:textId="61A54299" w:rsidR="00DC1110" w:rsidRDefault="00DC1110" w:rsidP="00621B78">
            <w:r w:rsidRPr="004B4517">
              <w:t>Advi</w:t>
            </w:r>
            <w:r w:rsidRPr="00483EEE">
              <w:t>sory Services has produced letterheads checklist and templates to assist you in designing your own practice letterhead. They also offer a free and confidential approval service to review the practice name and letterhead and advise whether it satisfies ICAEW and other requirements. If you would like to use this service please email your draft letterhead (and email template where applicable) to</w:t>
            </w:r>
            <w:r w:rsidR="00DA64DC">
              <w:t xml:space="preserve"> </w:t>
            </w:r>
            <w:r w:rsidR="00645709">
              <w:rPr>
                <w:rStyle w:val="Hyperlink"/>
              </w:rPr>
              <w:t>firms.admin@icaew.com</w:t>
            </w:r>
            <w:r w:rsidRPr="004B4517">
              <w:t>.</w:t>
            </w:r>
          </w:p>
          <w:p w14:paraId="363945AB" w14:textId="6C7555D2" w:rsidR="004B4517" w:rsidRPr="004B4517" w:rsidRDefault="004B4517" w:rsidP="00DC1110">
            <w:pPr>
              <w:spacing w:line="240" w:lineRule="auto"/>
            </w:pPr>
          </w:p>
        </w:tc>
        <w:sdt>
          <w:sdtPr>
            <w:id w:val="-417796838"/>
            <w14:checkbox>
              <w14:checked w14:val="0"/>
              <w14:checkedState w14:val="2612" w14:font="MS Gothic"/>
              <w14:uncheckedState w14:val="2610" w14:font="MS Gothic"/>
            </w14:checkbox>
          </w:sdtPr>
          <w:sdtEndPr/>
          <w:sdtContent>
            <w:tc>
              <w:tcPr>
                <w:tcW w:w="516" w:type="dxa"/>
                <w:shd w:val="clear" w:color="auto" w:fill="F2F2F2" w:themeFill="background1" w:themeFillShade="F2"/>
              </w:tcPr>
              <w:p w14:paraId="4E329155" w14:textId="335F94D7" w:rsidR="00DC1110" w:rsidRDefault="00DC1110" w:rsidP="00DC1110">
                <w:pPr>
                  <w:spacing w:line="240" w:lineRule="auto"/>
                </w:pPr>
                <w:r>
                  <w:rPr>
                    <w:rFonts w:ascii="MS Gothic" w:eastAsia="MS Gothic" w:hAnsi="MS Gothic" w:hint="eastAsia"/>
                  </w:rPr>
                  <w:t>☐</w:t>
                </w:r>
              </w:p>
            </w:tc>
          </w:sdtContent>
        </w:sdt>
      </w:tr>
      <w:tr w:rsidR="00CF65C2" w14:paraId="5F2C6C25" w14:textId="77777777" w:rsidTr="00535D86">
        <w:tc>
          <w:tcPr>
            <w:tcW w:w="8500" w:type="dxa"/>
          </w:tcPr>
          <w:p w14:paraId="29BC5B27" w14:textId="77777777" w:rsidR="00CF65C2" w:rsidRPr="004B4517" w:rsidRDefault="00CF65C2" w:rsidP="00CF65C2">
            <w:pPr>
              <w:rPr>
                <w:b/>
                <w:bCs/>
              </w:rPr>
            </w:pPr>
            <w:r w:rsidRPr="004B4517">
              <w:rPr>
                <w:b/>
                <w:bCs/>
              </w:rPr>
              <w:t>Will your practice be an ICAEW member firm?</w:t>
            </w:r>
          </w:p>
          <w:p w14:paraId="3A01C162" w14:textId="3B369731" w:rsidR="00CF65C2" w:rsidRPr="004B4517" w:rsidRDefault="00CF65C2" w:rsidP="00CF65C2">
            <w:r w:rsidRPr="004B4517">
              <w:t xml:space="preserve">Does the structure of your accountancy practice meet the </w:t>
            </w:r>
            <w:hyperlink r:id="rId18" w:history="1">
              <w:r w:rsidRPr="00645709">
                <w:rPr>
                  <w:rStyle w:val="Hyperlink"/>
                </w:rPr>
                <w:t>ICAEW member firm definition</w:t>
              </w:r>
            </w:hyperlink>
            <w:r w:rsidRPr="004B4517">
              <w:t xml:space="preserve"> set out in the </w:t>
            </w:r>
            <w:r w:rsidR="00D61379" w:rsidRPr="00905A18">
              <w:t>Principal Bye-laws</w:t>
            </w:r>
            <w:r w:rsidRPr="004B4517">
              <w:t xml:space="preserve">. It is important to understand whether your practice meets this definition as it affects whether ICAEW will be your anti-money laundering supervisor (see </w:t>
            </w:r>
            <w:hyperlink r:id="rId19" w:history="1">
              <w:r w:rsidRPr="004B4517">
                <w:rPr>
                  <w:rStyle w:val="Hyperlink"/>
                </w:rPr>
                <w:t>Anti-money laundering supervision</w:t>
              </w:r>
            </w:hyperlink>
            <w:r w:rsidRPr="004B4517">
              <w:t>).</w:t>
            </w:r>
          </w:p>
          <w:p w14:paraId="2878E707" w14:textId="77777777" w:rsidR="00CF65C2" w:rsidRDefault="00CF65C2" w:rsidP="00CF65C2">
            <w:pPr>
              <w:spacing w:line="240" w:lineRule="auto"/>
            </w:pPr>
          </w:p>
        </w:tc>
        <w:sdt>
          <w:sdtPr>
            <w:id w:val="-1357641882"/>
            <w14:checkbox>
              <w14:checked w14:val="0"/>
              <w14:checkedState w14:val="2612" w14:font="MS Gothic"/>
              <w14:uncheckedState w14:val="2610" w14:font="MS Gothic"/>
            </w14:checkbox>
          </w:sdtPr>
          <w:sdtEndPr/>
          <w:sdtContent>
            <w:tc>
              <w:tcPr>
                <w:tcW w:w="516" w:type="dxa"/>
              </w:tcPr>
              <w:p w14:paraId="4143C013" w14:textId="464DD97C" w:rsidR="00CF65C2" w:rsidRDefault="00CF65C2" w:rsidP="00CF65C2">
                <w:pPr>
                  <w:spacing w:line="240" w:lineRule="auto"/>
                </w:pPr>
                <w:r>
                  <w:rPr>
                    <w:rFonts w:ascii="MS Gothic" w:eastAsia="MS Gothic" w:hAnsi="MS Gothic" w:hint="eastAsia"/>
                  </w:rPr>
                  <w:t>☐</w:t>
                </w:r>
              </w:p>
            </w:tc>
          </w:sdtContent>
        </w:sdt>
      </w:tr>
      <w:tr w:rsidR="00CF65C2" w14:paraId="440E5778" w14:textId="77777777" w:rsidTr="00511DC8">
        <w:tc>
          <w:tcPr>
            <w:tcW w:w="8500" w:type="dxa"/>
            <w:shd w:val="clear" w:color="auto" w:fill="F2F2F2" w:themeFill="background1" w:themeFillShade="F2"/>
          </w:tcPr>
          <w:p w14:paraId="4269E1D0" w14:textId="71DD7072" w:rsidR="00CF65C2" w:rsidRPr="004B4517" w:rsidRDefault="00CF65C2" w:rsidP="00CF65C2">
            <w:pPr>
              <w:rPr>
                <w:b/>
                <w:bCs/>
              </w:rPr>
            </w:pPr>
            <w:r w:rsidRPr="004B4517">
              <w:rPr>
                <w:b/>
                <w:bCs/>
              </w:rPr>
              <w:t>Will your practice be entitled to use the description ‘Chartered Accountants’?</w:t>
            </w:r>
          </w:p>
          <w:p w14:paraId="7308CF96" w14:textId="1B68B648" w:rsidR="00CF65C2" w:rsidRPr="004B4517" w:rsidRDefault="00CF65C2" w:rsidP="00CF65C2">
            <w:r w:rsidRPr="004B4517">
              <w:t xml:space="preserve">The </w:t>
            </w:r>
            <w:hyperlink r:id="rId20" w:history="1">
              <w:r w:rsidRPr="004B4517">
                <w:rPr>
                  <w:rStyle w:val="Hyperlink"/>
                </w:rPr>
                <w:t>Use of Description Chartered Accountants Regulations</w:t>
              </w:r>
            </w:hyperlink>
            <w:r w:rsidRPr="004B4517">
              <w:t xml:space="preserve"> set out when a firm may describe itself as ‘Chartered Accountants’. Please note the ‘use of description’ member firm definition is different in the </w:t>
            </w:r>
            <w:hyperlink r:id="rId21" w:history="1">
              <w:r w:rsidRPr="004B4517">
                <w:rPr>
                  <w:rStyle w:val="Hyperlink"/>
                </w:rPr>
                <w:t>Principal Bye-laws</w:t>
              </w:r>
            </w:hyperlink>
            <w:r w:rsidRPr="004B4517">
              <w:t xml:space="preserve"> for an ICAEW member firm.</w:t>
            </w:r>
          </w:p>
          <w:p w14:paraId="463DC013" w14:textId="77777777" w:rsidR="00CF65C2" w:rsidRDefault="00CF65C2" w:rsidP="00CF65C2">
            <w:pPr>
              <w:spacing w:line="240" w:lineRule="auto"/>
            </w:pPr>
          </w:p>
        </w:tc>
        <w:sdt>
          <w:sdtPr>
            <w:id w:val="591676220"/>
            <w14:checkbox>
              <w14:checked w14:val="0"/>
              <w14:checkedState w14:val="2612" w14:font="MS Gothic"/>
              <w14:uncheckedState w14:val="2610" w14:font="MS Gothic"/>
            </w14:checkbox>
          </w:sdtPr>
          <w:sdtEndPr/>
          <w:sdtContent>
            <w:tc>
              <w:tcPr>
                <w:tcW w:w="516" w:type="dxa"/>
                <w:shd w:val="clear" w:color="auto" w:fill="F2F2F2" w:themeFill="background1" w:themeFillShade="F2"/>
              </w:tcPr>
              <w:p w14:paraId="49FE83AD" w14:textId="09DD80CA" w:rsidR="00CF65C2" w:rsidRDefault="00CF65C2" w:rsidP="00CF65C2">
                <w:pPr>
                  <w:spacing w:line="240" w:lineRule="auto"/>
                </w:pPr>
                <w:r>
                  <w:rPr>
                    <w:rFonts w:ascii="MS Gothic" w:eastAsia="MS Gothic" w:hAnsi="MS Gothic" w:hint="eastAsia"/>
                  </w:rPr>
                  <w:t>☐</w:t>
                </w:r>
              </w:p>
            </w:tc>
          </w:sdtContent>
        </w:sdt>
      </w:tr>
    </w:tbl>
    <w:p w14:paraId="590AC1E5" w14:textId="77777777" w:rsidR="00511DC8" w:rsidRDefault="00511DC8">
      <w:r>
        <w:br w:type="page"/>
      </w:r>
    </w:p>
    <w:tbl>
      <w:tblPr>
        <w:tblStyle w:val="TableGrid"/>
        <w:tblW w:w="0" w:type="auto"/>
        <w:tblLook w:val="04A0" w:firstRow="1" w:lastRow="0" w:firstColumn="1" w:lastColumn="0" w:noHBand="0" w:noVBand="1"/>
      </w:tblPr>
      <w:tblGrid>
        <w:gridCol w:w="8500"/>
        <w:gridCol w:w="516"/>
      </w:tblGrid>
      <w:tr w:rsidR="00CF65C2" w14:paraId="49F88F5C" w14:textId="77777777" w:rsidTr="00535D86">
        <w:tc>
          <w:tcPr>
            <w:tcW w:w="8500" w:type="dxa"/>
          </w:tcPr>
          <w:p w14:paraId="7C4315FE" w14:textId="2C65D0DF" w:rsidR="00CF65C2" w:rsidRPr="004B4517" w:rsidRDefault="00CF65C2" w:rsidP="00CF65C2">
            <w:pPr>
              <w:rPr>
                <w:b/>
                <w:bCs/>
              </w:rPr>
            </w:pPr>
            <w:r w:rsidRPr="004B4517">
              <w:rPr>
                <w:b/>
                <w:bCs/>
              </w:rPr>
              <w:lastRenderedPageBreak/>
              <w:t>Will your practice be entitled to use the ICAEW logo?</w:t>
            </w:r>
          </w:p>
          <w:p w14:paraId="34AFBB84" w14:textId="0AB17033" w:rsidR="00CF65C2" w:rsidRPr="004B4517" w:rsidRDefault="00CF65C2" w:rsidP="00CF65C2">
            <w:r w:rsidRPr="004B4517">
              <w:t xml:space="preserve">ICAEW has developed </w:t>
            </w:r>
            <w:hyperlink r:id="rId22" w:history="1">
              <w:r w:rsidRPr="004B4517">
                <w:rPr>
                  <w:rStyle w:val="Hyperlink"/>
                </w:rPr>
                <w:t>logos</w:t>
              </w:r>
            </w:hyperlink>
            <w:r w:rsidRPr="004B4517">
              <w:t xml:space="preserve"> for use by ICAEW members, ICAEW member firms, ICAEW licensed insolvency practitioners and ICAEW probate accredited firms.</w:t>
            </w:r>
          </w:p>
          <w:p w14:paraId="54B995BD" w14:textId="77777777" w:rsidR="00CF65C2" w:rsidRPr="004B4517" w:rsidRDefault="00CF65C2" w:rsidP="00CF65C2">
            <w:pPr>
              <w:rPr>
                <w:b/>
                <w:bCs/>
              </w:rPr>
            </w:pPr>
          </w:p>
          <w:p w14:paraId="6EB244E1" w14:textId="77777777" w:rsidR="00CF65C2" w:rsidRPr="004B4517" w:rsidRDefault="00CF65C2" w:rsidP="00CF65C2">
            <w:pPr>
              <w:rPr>
                <w:b/>
                <w:bCs/>
              </w:rPr>
            </w:pPr>
            <w:r w:rsidRPr="004B4517">
              <w:rPr>
                <w:b/>
                <w:bCs/>
              </w:rPr>
              <w:t>Member logo</w:t>
            </w:r>
          </w:p>
          <w:p w14:paraId="4809680B" w14:textId="77777777" w:rsidR="00CF65C2" w:rsidRPr="004B4517" w:rsidRDefault="00CF65C2" w:rsidP="00CF65C2">
            <w:r w:rsidRPr="004B4517">
              <w:t>Any ICAEW member who is entitled to use the ACA or FCA designation may use the member logo to promote their own professional services. This includes members in business and practice. Sole practitioners may use either the member or the member firm logo.</w:t>
            </w:r>
          </w:p>
          <w:p w14:paraId="2BE95506" w14:textId="77777777" w:rsidR="00CF65C2" w:rsidRPr="004B4517" w:rsidRDefault="00CF65C2" w:rsidP="00CF65C2">
            <w:pPr>
              <w:rPr>
                <w:b/>
                <w:bCs/>
              </w:rPr>
            </w:pPr>
          </w:p>
          <w:p w14:paraId="316F97A7" w14:textId="77777777" w:rsidR="00CF65C2" w:rsidRPr="004B4517" w:rsidRDefault="00CF65C2" w:rsidP="00CF65C2">
            <w:pPr>
              <w:rPr>
                <w:b/>
                <w:bCs/>
              </w:rPr>
            </w:pPr>
            <w:r w:rsidRPr="004B4517">
              <w:rPr>
                <w:b/>
                <w:bCs/>
              </w:rPr>
              <w:t>Member firm logo</w:t>
            </w:r>
          </w:p>
          <w:p w14:paraId="2119BEA8" w14:textId="01ADB3A7" w:rsidR="00CF65C2" w:rsidRPr="004B4517" w:rsidRDefault="00CF65C2" w:rsidP="00CF65C2">
            <w:r w:rsidRPr="004B4517">
              <w:t xml:space="preserve">Only practising member firms, as defined in the </w:t>
            </w:r>
            <w:hyperlink r:id="rId23" w:history="1">
              <w:r w:rsidRPr="004B4517">
                <w:rPr>
                  <w:rStyle w:val="Hyperlink"/>
                </w:rPr>
                <w:t>Use of description regulations</w:t>
              </w:r>
            </w:hyperlink>
            <w:r w:rsidRPr="004B4517">
              <w:t xml:space="preserve"> paragraph 5, can use the member firm logo to promote their firm.</w:t>
            </w:r>
          </w:p>
          <w:p w14:paraId="73B3F677" w14:textId="77777777" w:rsidR="00CF65C2" w:rsidRPr="004B4517" w:rsidRDefault="00CF65C2" w:rsidP="00CF65C2">
            <w:pPr>
              <w:rPr>
                <w:b/>
                <w:bCs/>
              </w:rPr>
            </w:pPr>
          </w:p>
          <w:p w14:paraId="5A031F5A" w14:textId="77777777" w:rsidR="00CF65C2" w:rsidRPr="004B4517" w:rsidRDefault="00CF65C2" w:rsidP="00CF65C2">
            <w:pPr>
              <w:rPr>
                <w:b/>
                <w:bCs/>
              </w:rPr>
            </w:pPr>
            <w:r w:rsidRPr="004B4517">
              <w:rPr>
                <w:b/>
                <w:bCs/>
              </w:rPr>
              <w:t>ICAEW licensed insolvency practitioners logos</w:t>
            </w:r>
          </w:p>
          <w:p w14:paraId="44D69DBB" w14:textId="77777777" w:rsidR="00CF65C2" w:rsidRPr="004B4517" w:rsidRDefault="00CF65C2" w:rsidP="00CF65C2">
            <w:r w:rsidRPr="004B4517">
              <w:t>All ICAEW licensed insolvency practitioners may use the ICAEW licensed insolvency practitioner (UK) logo for promotional purposes.</w:t>
            </w:r>
          </w:p>
          <w:p w14:paraId="786DE732" w14:textId="77777777" w:rsidR="00CF65C2" w:rsidRPr="004B4517" w:rsidRDefault="00CF65C2" w:rsidP="00CF65C2">
            <w:pPr>
              <w:rPr>
                <w:b/>
                <w:bCs/>
              </w:rPr>
            </w:pPr>
          </w:p>
          <w:p w14:paraId="2B4B6852" w14:textId="77777777" w:rsidR="00CF65C2" w:rsidRPr="004B4517" w:rsidRDefault="00CF65C2" w:rsidP="00CF65C2">
            <w:r w:rsidRPr="004B4517">
              <w:t>Firms where all the insolvency practitioners are licensed by ICAEW may use the ICAEW licensed insolvency practitioners (UK) logo to promote their firm.</w:t>
            </w:r>
          </w:p>
          <w:p w14:paraId="06EDCEB6" w14:textId="77777777" w:rsidR="00CF65C2" w:rsidRPr="004B4517" w:rsidRDefault="00CF65C2" w:rsidP="00CF65C2">
            <w:pPr>
              <w:rPr>
                <w:b/>
                <w:bCs/>
              </w:rPr>
            </w:pPr>
          </w:p>
          <w:p w14:paraId="6C1FC314" w14:textId="77777777" w:rsidR="00CF65C2" w:rsidRPr="004B4517" w:rsidRDefault="00CF65C2" w:rsidP="00CF65C2">
            <w:r w:rsidRPr="004B4517">
              <w:t>The logo doesn’t replace the legend. All recognised professional bodies under the Insolvency Act have agreed that insolvency practitioners should tell clients, and others with whom they deal, the name of their authorising body at an early stage.</w:t>
            </w:r>
          </w:p>
          <w:p w14:paraId="198BC17E" w14:textId="77777777" w:rsidR="00CF65C2" w:rsidRPr="004B4517" w:rsidRDefault="00CF65C2" w:rsidP="00CF65C2">
            <w:pPr>
              <w:rPr>
                <w:b/>
                <w:bCs/>
              </w:rPr>
            </w:pPr>
          </w:p>
          <w:p w14:paraId="218AAF8E" w14:textId="77777777" w:rsidR="00CF65C2" w:rsidRPr="004B4517" w:rsidRDefault="00CF65C2" w:rsidP="00CF65C2">
            <w:pPr>
              <w:rPr>
                <w:b/>
                <w:bCs/>
              </w:rPr>
            </w:pPr>
            <w:r w:rsidRPr="004B4517">
              <w:rPr>
                <w:b/>
                <w:bCs/>
              </w:rPr>
              <w:t>ICAEW probate accredited logo</w:t>
            </w:r>
          </w:p>
          <w:p w14:paraId="607D9793" w14:textId="77777777" w:rsidR="00CF65C2" w:rsidRPr="004B4517" w:rsidRDefault="00CF65C2" w:rsidP="00CF65C2">
            <w:r w:rsidRPr="004B4517">
              <w:t>ICAEW probate accredited firms may use the ICAEW probate accredited firm logo (UK) for promotional purposes. The logo does not replace the legend and can be used together on firm letterhead.</w:t>
            </w:r>
          </w:p>
          <w:p w14:paraId="753E6557" w14:textId="77777777" w:rsidR="00CF65C2" w:rsidRDefault="00CF65C2" w:rsidP="00CF65C2">
            <w:pPr>
              <w:spacing w:line="240" w:lineRule="auto"/>
            </w:pPr>
          </w:p>
        </w:tc>
        <w:tc>
          <w:tcPr>
            <w:tcW w:w="516" w:type="dxa"/>
          </w:tcPr>
          <w:p w14:paraId="06C478C0" w14:textId="77777777" w:rsidR="00CF65C2" w:rsidRDefault="00CF65C2" w:rsidP="00CF65C2">
            <w:pPr>
              <w:jc w:val="center"/>
            </w:pPr>
          </w:p>
          <w:p w14:paraId="3A59181F" w14:textId="77777777" w:rsidR="00CF65C2" w:rsidRDefault="00CF65C2" w:rsidP="00CF65C2">
            <w:pPr>
              <w:jc w:val="center"/>
            </w:pPr>
          </w:p>
          <w:p w14:paraId="06FF23D9" w14:textId="77777777" w:rsidR="00CF65C2" w:rsidRDefault="00CF65C2" w:rsidP="00CF65C2">
            <w:pPr>
              <w:jc w:val="center"/>
            </w:pPr>
          </w:p>
          <w:p w14:paraId="050EF35C" w14:textId="77777777" w:rsidR="00CF65C2" w:rsidRDefault="00CF65C2" w:rsidP="00CF65C2">
            <w:pPr>
              <w:jc w:val="center"/>
            </w:pPr>
          </w:p>
          <w:sdt>
            <w:sdtPr>
              <w:id w:val="-1681960670"/>
              <w14:checkbox>
                <w14:checked w14:val="0"/>
                <w14:checkedState w14:val="2612" w14:font="MS Gothic"/>
                <w14:uncheckedState w14:val="2610" w14:font="MS Gothic"/>
              </w14:checkbox>
            </w:sdtPr>
            <w:sdtEndPr/>
            <w:sdtContent>
              <w:p w14:paraId="299AB464" w14:textId="77777777" w:rsidR="00CF65C2" w:rsidRDefault="00CF65C2" w:rsidP="00CF65C2">
                <w:pPr>
                  <w:jc w:val="center"/>
                </w:pPr>
                <w:r>
                  <w:rPr>
                    <w:rFonts w:ascii="MS Gothic" w:eastAsia="MS Gothic" w:hAnsi="MS Gothic" w:hint="eastAsia"/>
                  </w:rPr>
                  <w:t>☐</w:t>
                </w:r>
              </w:p>
            </w:sdtContent>
          </w:sdt>
          <w:p w14:paraId="2F071B00" w14:textId="77777777" w:rsidR="00CF65C2" w:rsidRDefault="00CF65C2" w:rsidP="00CF65C2">
            <w:pPr>
              <w:jc w:val="center"/>
            </w:pPr>
          </w:p>
          <w:p w14:paraId="3EA38B18" w14:textId="77777777" w:rsidR="00CF65C2" w:rsidRDefault="00CF65C2" w:rsidP="00CF65C2">
            <w:pPr>
              <w:jc w:val="center"/>
            </w:pPr>
          </w:p>
          <w:p w14:paraId="231BE51F" w14:textId="77777777" w:rsidR="00CF65C2" w:rsidRDefault="00CF65C2" w:rsidP="00CF65C2">
            <w:pPr>
              <w:jc w:val="center"/>
            </w:pPr>
          </w:p>
          <w:p w14:paraId="2AEAC789" w14:textId="77777777" w:rsidR="00942199" w:rsidRDefault="00942199" w:rsidP="00CF65C2">
            <w:pPr>
              <w:jc w:val="center"/>
            </w:pPr>
          </w:p>
          <w:sdt>
            <w:sdtPr>
              <w:id w:val="-807240413"/>
              <w14:checkbox>
                <w14:checked w14:val="0"/>
                <w14:checkedState w14:val="2612" w14:font="MS Gothic"/>
                <w14:uncheckedState w14:val="2610" w14:font="MS Gothic"/>
              </w14:checkbox>
            </w:sdtPr>
            <w:sdtEndPr/>
            <w:sdtContent>
              <w:p w14:paraId="0031A218" w14:textId="77777777" w:rsidR="00CF65C2" w:rsidRDefault="00CF65C2" w:rsidP="00CF65C2">
                <w:pPr>
                  <w:jc w:val="center"/>
                </w:pPr>
                <w:r>
                  <w:rPr>
                    <w:rFonts w:ascii="MS Gothic" w:eastAsia="MS Gothic" w:hAnsi="MS Gothic" w:hint="eastAsia"/>
                  </w:rPr>
                  <w:t>☐</w:t>
                </w:r>
              </w:p>
            </w:sdtContent>
          </w:sdt>
          <w:p w14:paraId="0B241F4E" w14:textId="77777777" w:rsidR="00CF65C2" w:rsidRDefault="00CF65C2" w:rsidP="00CF65C2">
            <w:pPr>
              <w:jc w:val="center"/>
            </w:pPr>
          </w:p>
          <w:p w14:paraId="03D1A9BD" w14:textId="77777777" w:rsidR="00CF65C2" w:rsidRDefault="00CF65C2" w:rsidP="00CF65C2">
            <w:pPr>
              <w:jc w:val="center"/>
            </w:pPr>
          </w:p>
          <w:p w14:paraId="0BF59E4D" w14:textId="77777777" w:rsidR="00942199" w:rsidRDefault="00942199" w:rsidP="00942199"/>
          <w:p w14:paraId="68C6A70B" w14:textId="77777777" w:rsidR="00942199" w:rsidRDefault="00942199" w:rsidP="00942199"/>
          <w:sdt>
            <w:sdtPr>
              <w:id w:val="-191460947"/>
              <w14:checkbox>
                <w14:checked w14:val="0"/>
                <w14:checkedState w14:val="2612" w14:font="MS Gothic"/>
                <w14:uncheckedState w14:val="2610" w14:font="MS Gothic"/>
              </w14:checkbox>
            </w:sdtPr>
            <w:sdtEndPr/>
            <w:sdtContent>
              <w:p w14:paraId="71A9C31B" w14:textId="77777777" w:rsidR="00CF65C2" w:rsidRDefault="00CF65C2" w:rsidP="00CF65C2">
                <w:pPr>
                  <w:jc w:val="center"/>
                </w:pPr>
                <w:r>
                  <w:rPr>
                    <w:rFonts w:ascii="MS Gothic" w:eastAsia="MS Gothic" w:hAnsi="MS Gothic" w:hint="eastAsia"/>
                  </w:rPr>
                  <w:t>☐</w:t>
                </w:r>
              </w:p>
            </w:sdtContent>
          </w:sdt>
          <w:p w14:paraId="18AED35B" w14:textId="77777777" w:rsidR="00CF65C2" w:rsidRDefault="00CF65C2" w:rsidP="00CF65C2"/>
          <w:p w14:paraId="05EEF6F2" w14:textId="77777777" w:rsidR="00CF65C2" w:rsidRDefault="00CF65C2" w:rsidP="00CF65C2"/>
          <w:p w14:paraId="3B844DD3" w14:textId="77777777" w:rsidR="00CF65C2" w:rsidRDefault="00CF65C2" w:rsidP="00CF65C2"/>
          <w:p w14:paraId="5DAA5C0F" w14:textId="77777777" w:rsidR="00CF65C2" w:rsidRDefault="00CF65C2" w:rsidP="00CF65C2"/>
          <w:p w14:paraId="6B9AA56E" w14:textId="77777777" w:rsidR="00CF65C2" w:rsidRDefault="00CF65C2" w:rsidP="00CF65C2"/>
          <w:p w14:paraId="26C96213" w14:textId="77777777" w:rsidR="00CF65C2" w:rsidRDefault="00CF65C2" w:rsidP="00CF65C2"/>
          <w:p w14:paraId="16C44926" w14:textId="77777777" w:rsidR="00CF65C2" w:rsidRDefault="00CF65C2" w:rsidP="00CF65C2"/>
          <w:p w14:paraId="0336ECE8" w14:textId="77777777" w:rsidR="00CF65C2" w:rsidRDefault="00CF65C2" w:rsidP="00CF65C2"/>
          <w:p w14:paraId="6D2B394D" w14:textId="77777777" w:rsidR="00CF65C2" w:rsidRDefault="00CF65C2" w:rsidP="00CF65C2"/>
          <w:p w14:paraId="2E422195" w14:textId="77777777" w:rsidR="00CF65C2" w:rsidRDefault="00CF65C2" w:rsidP="00CF65C2"/>
          <w:sdt>
            <w:sdtPr>
              <w:id w:val="407890730"/>
              <w14:checkbox>
                <w14:checked w14:val="0"/>
                <w14:checkedState w14:val="2612" w14:font="MS Gothic"/>
                <w14:uncheckedState w14:val="2610" w14:font="MS Gothic"/>
              </w14:checkbox>
            </w:sdtPr>
            <w:sdtEndPr/>
            <w:sdtContent>
              <w:p w14:paraId="3A0F1D2F" w14:textId="77777777" w:rsidR="00CF65C2" w:rsidRDefault="00CF65C2" w:rsidP="00CF65C2">
                <w:pPr>
                  <w:jc w:val="center"/>
                </w:pPr>
                <w:r>
                  <w:rPr>
                    <w:rFonts w:ascii="MS Gothic" w:eastAsia="MS Gothic" w:hAnsi="MS Gothic" w:hint="eastAsia"/>
                  </w:rPr>
                  <w:t>☐</w:t>
                </w:r>
              </w:p>
            </w:sdtContent>
          </w:sdt>
          <w:p w14:paraId="70DF558F" w14:textId="77777777" w:rsidR="00CF65C2" w:rsidRDefault="00CF65C2" w:rsidP="00CF65C2"/>
          <w:p w14:paraId="42E245B6" w14:textId="77777777" w:rsidR="00CF65C2" w:rsidRDefault="00CF65C2" w:rsidP="00CF65C2"/>
          <w:p w14:paraId="75C2B722" w14:textId="43DE9AA9" w:rsidR="00CF65C2" w:rsidRDefault="00CF65C2" w:rsidP="00CF65C2">
            <w:pPr>
              <w:spacing w:line="240" w:lineRule="auto"/>
            </w:pPr>
          </w:p>
        </w:tc>
      </w:tr>
    </w:tbl>
    <w:p w14:paraId="75E02388" w14:textId="77777777" w:rsidR="00535D86" w:rsidRDefault="00535D86">
      <w:pPr>
        <w:spacing w:line="240" w:lineRule="auto"/>
      </w:pPr>
    </w:p>
    <w:p w14:paraId="35AF9B87" w14:textId="1E3FDE15" w:rsidR="008B516A" w:rsidRDefault="008B516A" w:rsidP="00A0799D">
      <w:pPr>
        <w:pStyle w:val="Heading3"/>
      </w:pPr>
      <w:r>
        <w:t>Other legal, regulatory and ICAEW requirements</w:t>
      </w:r>
    </w:p>
    <w:p w14:paraId="123E24B0" w14:textId="2695E227" w:rsidR="008A3E16" w:rsidRDefault="00750B89" w:rsidP="008B516A">
      <w:r>
        <w:t xml:space="preserve">You will need to ensure that you comply with legal, regulatory and ICAEW requirements including complying with the </w:t>
      </w:r>
      <w:hyperlink r:id="rId24" w:history="1">
        <w:r w:rsidRPr="00750B89">
          <w:rPr>
            <w:rStyle w:val="Hyperlink"/>
          </w:rPr>
          <w:t>ICAEW Code of Ethics</w:t>
        </w:r>
      </w:hyperlink>
      <w:r>
        <w:t xml:space="preserve">. </w:t>
      </w:r>
    </w:p>
    <w:p w14:paraId="5E53569C" w14:textId="77777777" w:rsidR="00CF65C2" w:rsidRDefault="00CF65C2" w:rsidP="008B516A"/>
    <w:tbl>
      <w:tblPr>
        <w:tblStyle w:val="TableGrid"/>
        <w:tblW w:w="0" w:type="auto"/>
        <w:tblLook w:val="04A0" w:firstRow="1" w:lastRow="0" w:firstColumn="1" w:lastColumn="0" w:noHBand="0" w:noVBand="1"/>
      </w:tblPr>
      <w:tblGrid>
        <w:gridCol w:w="8500"/>
        <w:gridCol w:w="516"/>
      </w:tblGrid>
      <w:tr w:rsidR="00CF65C2" w14:paraId="10F18097" w14:textId="77777777" w:rsidTr="00511DC8">
        <w:tc>
          <w:tcPr>
            <w:tcW w:w="8500" w:type="dxa"/>
            <w:shd w:val="clear" w:color="auto" w:fill="F2F2F2" w:themeFill="background1" w:themeFillShade="F2"/>
          </w:tcPr>
          <w:p w14:paraId="15C09BD0" w14:textId="77777777" w:rsidR="00CF65C2" w:rsidRPr="004B4517" w:rsidRDefault="00CF65C2" w:rsidP="00CF65C2">
            <w:pPr>
              <w:rPr>
                <w:b/>
                <w:bCs/>
              </w:rPr>
            </w:pPr>
            <w:r w:rsidRPr="004B4517">
              <w:rPr>
                <w:b/>
                <w:bCs/>
              </w:rPr>
              <w:t>Professional indemnity insurance (PII)</w:t>
            </w:r>
          </w:p>
          <w:p w14:paraId="19263CE0" w14:textId="1555D44B" w:rsidR="00CF65C2" w:rsidRPr="004B4517" w:rsidRDefault="00CF65C2" w:rsidP="00CF65C2">
            <w:r w:rsidRPr="004B4517">
              <w:t xml:space="preserve">You must obtain professional indemnity insurance (PII) which complies with the PII regulations. Further guidance is available on the </w:t>
            </w:r>
            <w:hyperlink r:id="rId25" w:history="1">
              <w:r w:rsidRPr="004B4517">
                <w:rPr>
                  <w:rStyle w:val="Hyperlink"/>
                </w:rPr>
                <w:t>professional indemnity insurance</w:t>
              </w:r>
            </w:hyperlink>
            <w:r w:rsidRPr="004B4517">
              <w:t xml:space="preserve"> webpage.</w:t>
            </w:r>
          </w:p>
          <w:p w14:paraId="0E72B9A4" w14:textId="77777777" w:rsidR="00CF65C2" w:rsidRPr="004B4517" w:rsidRDefault="00CF65C2" w:rsidP="00CF65C2"/>
        </w:tc>
        <w:sdt>
          <w:sdtPr>
            <w:id w:val="-1809767216"/>
            <w14:checkbox>
              <w14:checked w14:val="0"/>
              <w14:checkedState w14:val="2612" w14:font="MS Gothic"/>
              <w14:uncheckedState w14:val="2610" w14:font="MS Gothic"/>
            </w14:checkbox>
          </w:sdtPr>
          <w:sdtEndPr/>
          <w:sdtContent>
            <w:tc>
              <w:tcPr>
                <w:tcW w:w="516" w:type="dxa"/>
                <w:shd w:val="clear" w:color="auto" w:fill="F2F2F2" w:themeFill="background1" w:themeFillShade="F2"/>
              </w:tcPr>
              <w:p w14:paraId="6248765C" w14:textId="37B58738" w:rsidR="00CF65C2" w:rsidRDefault="00CF65C2" w:rsidP="00CF65C2">
                <w:r>
                  <w:rPr>
                    <w:rFonts w:ascii="MS Gothic" w:eastAsia="MS Gothic" w:hAnsi="MS Gothic" w:hint="eastAsia"/>
                  </w:rPr>
                  <w:t>☐</w:t>
                </w:r>
              </w:p>
            </w:tc>
          </w:sdtContent>
        </w:sdt>
      </w:tr>
      <w:tr w:rsidR="00CF65C2" w14:paraId="686B4815" w14:textId="77777777" w:rsidTr="00CF65C2">
        <w:tc>
          <w:tcPr>
            <w:tcW w:w="8500" w:type="dxa"/>
          </w:tcPr>
          <w:p w14:paraId="115EE292" w14:textId="7E4E19F5" w:rsidR="00CF65C2" w:rsidRPr="004B4517" w:rsidRDefault="00CF65C2" w:rsidP="00CF65C2">
            <w:pPr>
              <w:rPr>
                <w:b/>
                <w:bCs/>
              </w:rPr>
            </w:pPr>
            <w:r w:rsidRPr="004B4517">
              <w:rPr>
                <w:b/>
                <w:bCs/>
              </w:rPr>
              <w:t>Practice assurance standards and regulations</w:t>
            </w:r>
          </w:p>
          <w:p w14:paraId="2255C1DF" w14:textId="3162D6E1" w:rsidR="00CF65C2" w:rsidRDefault="00CF65C2" w:rsidP="00CF65C2">
            <w:r w:rsidRPr="004B4517">
              <w:t xml:space="preserve">You must comply with the practice assurance standards and regulations. Further guidance is available from the </w:t>
            </w:r>
            <w:hyperlink r:id="rId26" w:history="1">
              <w:r w:rsidRPr="004B4517">
                <w:rPr>
                  <w:rStyle w:val="Hyperlink"/>
                </w:rPr>
                <w:t>Practice Assurance standards, guidance and regulations</w:t>
              </w:r>
            </w:hyperlink>
            <w:r w:rsidRPr="004B4517">
              <w:t xml:space="preserve"> webpage.</w:t>
            </w:r>
          </w:p>
          <w:p w14:paraId="1BDEDA2E" w14:textId="0026ABD2" w:rsidR="00483EEE" w:rsidRPr="004B4517" w:rsidRDefault="00483EEE" w:rsidP="00CF65C2"/>
        </w:tc>
        <w:sdt>
          <w:sdtPr>
            <w:id w:val="-1130399577"/>
            <w14:checkbox>
              <w14:checked w14:val="0"/>
              <w14:checkedState w14:val="2612" w14:font="MS Gothic"/>
              <w14:uncheckedState w14:val="2610" w14:font="MS Gothic"/>
            </w14:checkbox>
          </w:sdtPr>
          <w:sdtEndPr/>
          <w:sdtContent>
            <w:tc>
              <w:tcPr>
                <w:tcW w:w="516" w:type="dxa"/>
              </w:tcPr>
              <w:p w14:paraId="4F64C876" w14:textId="4D234D0E" w:rsidR="00CF65C2" w:rsidRDefault="00CF65C2" w:rsidP="00CF65C2">
                <w:r>
                  <w:rPr>
                    <w:rFonts w:ascii="MS Gothic" w:eastAsia="MS Gothic" w:hAnsi="MS Gothic" w:hint="eastAsia"/>
                  </w:rPr>
                  <w:t>☐</w:t>
                </w:r>
              </w:p>
            </w:tc>
          </w:sdtContent>
        </w:sdt>
      </w:tr>
    </w:tbl>
    <w:p w14:paraId="39CEFBA5" w14:textId="77777777" w:rsidR="00511DC8" w:rsidRDefault="00511DC8">
      <w:r>
        <w:br w:type="page"/>
      </w:r>
    </w:p>
    <w:tbl>
      <w:tblPr>
        <w:tblStyle w:val="TableGrid"/>
        <w:tblW w:w="0" w:type="auto"/>
        <w:tblLook w:val="04A0" w:firstRow="1" w:lastRow="0" w:firstColumn="1" w:lastColumn="0" w:noHBand="0" w:noVBand="1"/>
      </w:tblPr>
      <w:tblGrid>
        <w:gridCol w:w="8500"/>
        <w:gridCol w:w="516"/>
      </w:tblGrid>
      <w:tr w:rsidR="00CF65C2" w14:paraId="44835679" w14:textId="77777777" w:rsidTr="00511DC8">
        <w:tc>
          <w:tcPr>
            <w:tcW w:w="8500" w:type="dxa"/>
            <w:shd w:val="clear" w:color="auto" w:fill="F2F2F2" w:themeFill="background1" w:themeFillShade="F2"/>
          </w:tcPr>
          <w:p w14:paraId="1D646FDA" w14:textId="191AF252" w:rsidR="00CF65C2" w:rsidRPr="004B4517" w:rsidRDefault="00CF65C2" w:rsidP="00CF65C2">
            <w:pPr>
              <w:rPr>
                <w:b/>
                <w:bCs/>
              </w:rPr>
            </w:pPr>
            <w:r w:rsidRPr="004B4517">
              <w:rPr>
                <w:b/>
                <w:bCs/>
              </w:rPr>
              <w:lastRenderedPageBreak/>
              <w:t>Clients' money</w:t>
            </w:r>
          </w:p>
          <w:p w14:paraId="3123C2C2" w14:textId="675D5ADF" w:rsidR="00CF65C2" w:rsidRPr="004B4517" w:rsidRDefault="00CF65C2" w:rsidP="00CF65C2">
            <w:r w:rsidRPr="004B4517">
              <w:t xml:space="preserve">If you intend to hold clients’ money, you will need to comply with the Clients’ money regulations. Further guidance is available from the </w:t>
            </w:r>
            <w:hyperlink r:id="rId27" w:history="1">
              <w:r w:rsidRPr="004B4517">
                <w:rPr>
                  <w:rStyle w:val="Hyperlink"/>
                </w:rPr>
                <w:t>Clients’ money regulations</w:t>
              </w:r>
            </w:hyperlink>
            <w:r w:rsidRPr="004B4517">
              <w:t xml:space="preserve"> webpage. </w:t>
            </w:r>
          </w:p>
          <w:p w14:paraId="43F347AC" w14:textId="77777777" w:rsidR="00CF65C2" w:rsidRPr="004B4517" w:rsidRDefault="00CF65C2" w:rsidP="00CF65C2"/>
          <w:p w14:paraId="324386C7" w14:textId="418C4295" w:rsidR="00C26FC3" w:rsidRPr="00C26FC3" w:rsidRDefault="00CF65C2" w:rsidP="00C26FC3">
            <w:r w:rsidRPr="004B4517">
              <w:t xml:space="preserve">Sole practitioners who hold clients’ money are required by regulation 31 to make appropriate </w:t>
            </w:r>
            <w:r w:rsidR="00CB7277" w:rsidRPr="00B45ED0">
              <w:rPr>
                <w:u w:color="CC0000"/>
              </w:rPr>
              <w:t>alternate arrangements</w:t>
            </w:r>
            <w:r w:rsidRPr="004B4517">
              <w:t xml:space="preserve"> and notify ICAEW of these arrangements.</w:t>
            </w:r>
            <w:r w:rsidR="00C26FC3">
              <w:t xml:space="preserve"> See further guidance: </w:t>
            </w:r>
            <w:hyperlink r:id="rId28" w:history="1">
              <w:r w:rsidR="00C26FC3" w:rsidRPr="00C26FC3">
                <w:rPr>
                  <w:rStyle w:val="Hyperlink"/>
                </w:rPr>
                <w:t>Arrangements for alternates - guidance for sole principals</w:t>
              </w:r>
            </w:hyperlink>
          </w:p>
          <w:p w14:paraId="0F3759BB" w14:textId="6C2F0DD1" w:rsidR="00C26FC3" w:rsidRPr="00C26FC3" w:rsidRDefault="00C26FC3" w:rsidP="00C26FC3">
            <w:r>
              <w:t xml:space="preserve">and  </w:t>
            </w:r>
            <w:hyperlink r:id="rId29" w:history="1">
              <w:r w:rsidRPr="00C26FC3">
                <w:rPr>
                  <w:rStyle w:val="Hyperlink"/>
                </w:rPr>
                <w:t>Arrangements for alternates - guidance for alternates</w:t>
              </w:r>
            </w:hyperlink>
          </w:p>
          <w:p w14:paraId="6A061714" w14:textId="597A1B5F" w:rsidR="00CF65C2" w:rsidRDefault="00CF65C2" w:rsidP="00CF65C2"/>
          <w:p w14:paraId="76B93913" w14:textId="671157FD" w:rsidR="00511DC8" w:rsidRPr="004B4517" w:rsidRDefault="00511DC8" w:rsidP="00CF65C2"/>
        </w:tc>
        <w:sdt>
          <w:sdtPr>
            <w:id w:val="1233819618"/>
            <w14:checkbox>
              <w14:checked w14:val="0"/>
              <w14:checkedState w14:val="2612" w14:font="MS Gothic"/>
              <w14:uncheckedState w14:val="2610" w14:font="MS Gothic"/>
            </w14:checkbox>
          </w:sdtPr>
          <w:sdtEndPr/>
          <w:sdtContent>
            <w:tc>
              <w:tcPr>
                <w:tcW w:w="516" w:type="dxa"/>
                <w:shd w:val="clear" w:color="auto" w:fill="F2F2F2" w:themeFill="background1" w:themeFillShade="F2"/>
              </w:tcPr>
              <w:p w14:paraId="3ACF79E0" w14:textId="158EDD1F" w:rsidR="00CF65C2" w:rsidRDefault="00CF65C2" w:rsidP="00CF65C2">
                <w:r>
                  <w:rPr>
                    <w:rFonts w:ascii="MS Gothic" w:eastAsia="MS Gothic" w:hAnsi="MS Gothic" w:hint="eastAsia"/>
                  </w:rPr>
                  <w:t>☐</w:t>
                </w:r>
              </w:p>
            </w:tc>
          </w:sdtContent>
        </w:sdt>
      </w:tr>
      <w:tr w:rsidR="00CF65C2" w14:paraId="047D5A65" w14:textId="77777777" w:rsidTr="00CF65C2">
        <w:tc>
          <w:tcPr>
            <w:tcW w:w="8500" w:type="dxa"/>
          </w:tcPr>
          <w:p w14:paraId="21A7D70F" w14:textId="77777777" w:rsidR="00CF65C2" w:rsidRPr="004B4517" w:rsidRDefault="00CF65C2" w:rsidP="00CF65C2">
            <w:pPr>
              <w:rPr>
                <w:b/>
                <w:bCs/>
              </w:rPr>
            </w:pPr>
            <w:r w:rsidRPr="004B4517">
              <w:rPr>
                <w:b/>
                <w:bCs/>
              </w:rPr>
              <w:t>Anti-money laundering</w:t>
            </w:r>
          </w:p>
          <w:p w14:paraId="06B04D96" w14:textId="056412F2" w:rsidR="00CF65C2" w:rsidRDefault="00CF65C2" w:rsidP="00CF65C2">
            <w:r w:rsidRPr="004B4517">
              <w:t xml:space="preserve">You must comply with anti-money laundering regulations. This includes the need to be supervised (see </w:t>
            </w:r>
            <w:hyperlink r:id="rId30" w:history="1">
              <w:r w:rsidRPr="004B4517">
                <w:rPr>
                  <w:rStyle w:val="Hyperlink"/>
                </w:rPr>
                <w:t>Anti-money laundering supervision</w:t>
              </w:r>
            </w:hyperlink>
            <w:r w:rsidRPr="004B4517">
              <w:t xml:space="preserve"> webpage), for beneficial owners, officers or managers to be approved by ICAEW (see </w:t>
            </w:r>
            <w:hyperlink r:id="rId31" w:history="1">
              <w:r w:rsidRPr="004B4517">
                <w:rPr>
                  <w:rStyle w:val="Hyperlink"/>
                </w:rPr>
                <w:t>Criminal record checks</w:t>
              </w:r>
            </w:hyperlink>
            <w:r w:rsidRPr="004B4517">
              <w:t xml:space="preserve"> webpage) as well as wider obligations (see </w:t>
            </w:r>
            <w:hyperlink r:id="rId32" w:history="1">
              <w:r w:rsidRPr="004B4517">
                <w:rPr>
                  <w:rStyle w:val="Hyperlink"/>
                </w:rPr>
                <w:t>Anti-money laundering</w:t>
              </w:r>
            </w:hyperlink>
            <w:r w:rsidRPr="004B4517">
              <w:t xml:space="preserve"> webpage and the </w:t>
            </w:r>
            <w:hyperlink r:id="rId33" w:history="1">
              <w:r w:rsidRPr="004B4517">
                <w:rPr>
                  <w:rStyle w:val="Hyperlink"/>
                </w:rPr>
                <w:t>CCAB Anti-money laundering guidance for the accountancy sector</w:t>
              </w:r>
            </w:hyperlink>
            <w:r w:rsidRPr="004B4517">
              <w:t>).</w:t>
            </w:r>
          </w:p>
          <w:p w14:paraId="7D994076" w14:textId="3EF22B72" w:rsidR="00511DC8" w:rsidRPr="004B4517" w:rsidRDefault="00511DC8" w:rsidP="00CF65C2"/>
        </w:tc>
        <w:sdt>
          <w:sdtPr>
            <w:id w:val="2100522554"/>
            <w14:checkbox>
              <w14:checked w14:val="0"/>
              <w14:checkedState w14:val="2612" w14:font="MS Gothic"/>
              <w14:uncheckedState w14:val="2610" w14:font="MS Gothic"/>
            </w14:checkbox>
          </w:sdtPr>
          <w:sdtEndPr/>
          <w:sdtContent>
            <w:tc>
              <w:tcPr>
                <w:tcW w:w="516" w:type="dxa"/>
              </w:tcPr>
              <w:p w14:paraId="7B4AED45" w14:textId="08299732" w:rsidR="00CF65C2" w:rsidRDefault="00CF65C2" w:rsidP="00CF65C2">
                <w:r>
                  <w:rPr>
                    <w:rFonts w:ascii="MS Gothic" w:eastAsia="MS Gothic" w:hAnsi="MS Gothic" w:hint="eastAsia"/>
                  </w:rPr>
                  <w:t>☐</w:t>
                </w:r>
              </w:p>
            </w:tc>
          </w:sdtContent>
        </w:sdt>
      </w:tr>
      <w:tr w:rsidR="00CF65C2" w14:paraId="5C7043A1" w14:textId="77777777" w:rsidTr="00511DC8">
        <w:tc>
          <w:tcPr>
            <w:tcW w:w="8500" w:type="dxa"/>
            <w:shd w:val="clear" w:color="auto" w:fill="F2F2F2" w:themeFill="background1" w:themeFillShade="F2"/>
          </w:tcPr>
          <w:p w14:paraId="656C4871" w14:textId="77777777" w:rsidR="00CF65C2" w:rsidRPr="004B4517" w:rsidRDefault="00CF65C2" w:rsidP="00CF65C2">
            <w:pPr>
              <w:rPr>
                <w:b/>
                <w:bCs/>
              </w:rPr>
            </w:pPr>
            <w:r w:rsidRPr="004B4517">
              <w:rPr>
                <w:b/>
                <w:bCs/>
              </w:rPr>
              <w:t>Data protection</w:t>
            </w:r>
          </w:p>
          <w:p w14:paraId="28033E3E" w14:textId="48B3380B" w:rsidR="00CF65C2" w:rsidRDefault="00CF65C2" w:rsidP="00CF65C2">
            <w:r w:rsidRPr="004B4517">
              <w:t xml:space="preserve">You will normally need to register with the ICO and pay the </w:t>
            </w:r>
            <w:hyperlink r:id="rId34" w:history="1">
              <w:r w:rsidRPr="004B4517">
                <w:rPr>
                  <w:rStyle w:val="Hyperlink"/>
                </w:rPr>
                <w:t>data protection fee</w:t>
              </w:r>
            </w:hyperlink>
            <w:r w:rsidRPr="004B4517">
              <w:t xml:space="preserve">. You will also need to comply with data protection legislation. Further guidance is available in </w:t>
            </w:r>
            <w:hyperlink r:id="rId35" w:history="1">
              <w:r w:rsidRPr="004B4517">
                <w:rPr>
                  <w:rStyle w:val="Hyperlink"/>
                </w:rPr>
                <w:t>ICAEW’s guide to GDPR</w:t>
              </w:r>
            </w:hyperlink>
            <w:r w:rsidRPr="004B4517">
              <w:t xml:space="preserve"> and in the ICO’s </w:t>
            </w:r>
            <w:hyperlink r:id="rId36" w:history="1">
              <w:r w:rsidRPr="004B4517">
                <w:rPr>
                  <w:rStyle w:val="Hyperlink"/>
                </w:rPr>
                <w:t>Guide to Data Protection</w:t>
              </w:r>
            </w:hyperlink>
            <w:r w:rsidRPr="004B4517">
              <w:t>.</w:t>
            </w:r>
          </w:p>
          <w:p w14:paraId="58017E93" w14:textId="06240174" w:rsidR="00942199" w:rsidRPr="004B4517" w:rsidRDefault="00942199" w:rsidP="00CF65C2"/>
        </w:tc>
        <w:sdt>
          <w:sdtPr>
            <w:id w:val="-211425634"/>
            <w14:checkbox>
              <w14:checked w14:val="0"/>
              <w14:checkedState w14:val="2612" w14:font="MS Gothic"/>
              <w14:uncheckedState w14:val="2610" w14:font="MS Gothic"/>
            </w14:checkbox>
          </w:sdtPr>
          <w:sdtEndPr/>
          <w:sdtContent>
            <w:tc>
              <w:tcPr>
                <w:tcW w:w="516" w:type="dxa"/>
                <w:shd w:val="clear" w:color="auto" w:fill="F2F2F2" w:themeFill="background1" w:themeFillShade="F2"/>
              </w:tcPr>
              <w:p w14:paraId="4C61BBD9" w14:textId="51F6875A" w:rsidR="00CF65C2" w:rsidRDefault="00CF65C2" w:rsidP="00CF65C2">
                <w:r>
                  <w:rPr>
                    <w:rFonts w:ascii="MS Gothic" w:eastAsia="MS Gothic" w:hAnsi="MS Gothic" w:hint="eastAsia"/>
                  </w:rPr>
                  <w:t>☐</w:t>
                </w:r>
              </w:p>
            </w:tc>
          </w:sdtContent>
        </w:sdt>
      </w:tr>
      <w:tr w:rsidR="00CF65C2" w14:paraId="3BDF24CA" w14:textId="77777777" w:rsidTr="00CF65C2">
        <w:tc>
          <w:tcPr>
            <w:tcW w:w="8500" w:type="dxa"/>
          </w:tcPr>
          <w:p w14:paraId="423DD912" w14:textId="77777777" w:rsidR="00CF65C2" w:rsidRPr="004B4517" w:rsidRDefault="00CF65C2" w:rsidP="00CF65C2">
            <w:pPr>
              <w:rPr>
                <w:b/>
                <w:bCs/>
              </w:rPr>
            </w:pPr>
            <w:r w:rsidRPr="004B4517">
              <w:rPr>
                <w:b/>
                <w:bCs/>
              </w:rPr>
              <w:t>Authorised or licenced work</w:t>
            </w:r>
          </w:p>
          <w:p w14:paraId="59BD5AB6" w14:textId="77777777" w:rsidR="00CF65C2" w:rsidRPr="004B4517" w:rsidRDefault="00CF65C2" w:rsidP="00CF65C2">
            <w:r w:rsidRPr="004B4517">
              <w:t xml:space="preserve">If you intend to carry out any authorised or licenced work, you will need to comply with the relevant regulations and should assess the implications of these for your practice. </w:t>
            </w:r>
          </w:p>
          <w:p w14:paraId="504DCEE2" w14:textId="53DDB004" w:rsidR="00CF65C2" w:rsidRPr="004B4517" w:rsidRDefault="00CF65C2" w:rsidP="00CF65C2">
            <w:pPr>
              <w:pStyle w:val="ListParagraph"/>
              <w:numPr>
                <w:ilvl w:val="0"/>
                <w:numId w:val="6"/>
              </w:numPr>
            </w:pPr>
            <w:r w:rsidRPr="004B4517">
              <w:t>Audit</w:t>
            </w:r>
            <w:r w:rsidRPr="004B4517">
              <w:rPr>
                <w:b/>
                <w:bCs/>
              </w:rPr>
              <w:t xml:space="preserve"> </w:t>
            </w:r>
            <w:r w:rsidRPr="004B4517">
              <w:t xml:space="preserve">(see </w:t>
            </w:r>
            <w:hyperlink r:id="rId37" w:history="1">
              <w:r w:rsidRPr="004B4517">
                <w:rPr>
                  <w:rStyle w:val="Hyperlink"/>
                </w:rPr>
                <w:t>Working in the regulated area of audit</w:t>
              </w:r>
            </w:hyperlink>
            <w:r w:rsidRPr="004B4517">
              <w:t xml:space="preserve"> webpage).</w:t>
            </w:r>
          </w:p>
          <w:p w14:paraId="54069AFA" w14:textId="361CB25A" w:rsidR="00CF65C2" w:rsidRPr="004B4517" w:rsidRDefault="00CF65C2" w:rsidP="00CF65C2">
            <w:pPr>
              <w:pStyle w:val="ListParagraph"/>
              <w:numPr>
                <w:ilvl w:val="0"/>
                <w:numId w:val="6"/>
              </w:numPr>
            </w:pPr>
            <w:r w:rsidRPr="004B4517">
              <w:t xml:space="preserve">Investment business (see </w:t>
            </w:r>
            <w:hyperlink r:id="rId38" w:history="1">
              <w:r w:rsidRPr="004B4517">
                <w:rPr>
                  <w:rStyle w:val="Hyperlink"/>
                </w:rPr>
                <w:t>DPB (Investment Business) licence and FCA authorisation</w:t>
              </w:r>
            </w:hyperlink>
            <w:r w:rsidRPr="004B4517">
              <w:t>).</w:t>
            </w:r>
          </w:p>
          <w:p w14:paraId="1C7451B9" w14:textId="18F17216" w:rsidR="00CF65C2" w:rsidRPr="004B4517" w:rsidRDefault="00CF65C2" w:rsidP="00CF65C2">
            <w:pPr>
              <w:pStyle w:val="ListParagraph"/>
              <w:numPr>
                <w:ilvl w:val="0"/>
                <w:numId w:val="6"/>
              </w:numPr>
            </w:pPr>
            <w:r w:rsidRPr="004B4517">
              <w:t xml:space="preserve">Insolvency (see </w:t>
            </w:r>
            <w:hyperlink r:id="rId39" w:history="1">
              <w:r w:rsidRPr="004B4517">
                <w:rPr>
                  <w:rStyle w:val="Hyperlink"/>
                </w:rPr>
                <w:t>Insolvency</w:t>
              </w:r>
            </w:hyperlink>
            <w:r w:rsidRPr="004B4517">
              <w:t xml:space="preserve"> webpage). </w:t>
            </w:r>
          </w:p>
          <w:p w14:paraId="6568AFE4" w14:textId="44E6CA8F" w:rsidR="00483EEE" w:rsidRDefault="00CF65C2" w:rsidP="00621B78">
            <w:pPr>
              <w:pStyle w:val="ListParagraph"/>
              <w:numPr>
                <w:ilvl w:val="0"/>
                <w:numId w:val="6"/>
              </w:numPr>
            </w:pPr>
            <w:r w:rsidRPr="004B4517">
              <w:t xml:space="preserve">Legal services including probate (see </w:t>
            </w:r>
            <w:hyperlink r:id="rId40" w:history="1">
              <w:r w:rsidRPr="004B4517">
                <w:rPr>
                  <w:rStyle w:val="Hyperlink"/>
                </w:rPr>
                <w:t>Probate services</w:t>
              </w:r>
            </w:hyperlink>
            <w:r w:rsidRPr="004B4517">
              <w:t xml:space="preserve"> webpage). </w:t>
            </w:r>
          </w:p>
          <w:p w14:paraId="1F77A3EC" w14:textId="19A89A43" w:rsidR="00CF65C2" w:rsidRDefault="00CF65C2" w:rsidP="00621B78">
            <w:pPr>
              <w:pStyle w:val="ListParagraph"/>
              <w:numPr>
                <w:ilvl w:val="0"/>
                <w:numId w:val="6"/>
              </w:numPr>
            </w:pPr>
            <w:r w:rsidRPr="004B4517">
              <w:t xml:space="preserve">Licenced practice (including acting as an ATOL reporting accountant, see </w:t>
            </w:r>
            <w:hyperlink r:id="rId41" w:history="1">
              <w:r w:rsidRPr="004B4517">
                <w:rPr>
                  <w:rStyle w:val="Hyperlink"/>
                </w:rPr>
                <w:t>Licensed practice scheme</w:t>
              </w:r>
            </w:hyperlink>
            <w:r w:rsidRPr="004B4517">
              <w:t xml:space="preserve"> webpage).</w:t>
            </w:r>
          </w:p>
          <w:p w14:paraId="59DF627C" w14:textId="20B3CC97" w:rsidR="00942199" w:rsidRPr="004B4517" w:rsidRDefault="00942199" w:rsidP="00CF65C2"/>
        </w:tc>
        <w:sdt>
          <w:sdtPr>
            <w:id w:val="1828555056"/>
            <w14:checkbox>
              <w14:checked w14:val="0"/>
              <w14:checkedState w14:val="2612" w14:font="MS Gothic"/>
              <w14:uncheckedState w14:val="2610" w14:font="MS Gothic"/>
            </w14:checkbox>
          </w:sdtPr>
          <w:sdtEndPr/>
          <w:sdtContent>
            <w:tc>
              <w:tcPr>
                <w:tcW w:w="516" w:type="dxa"/>
              </w:tcPr>
              <w:p w14:paraId="69D21792" w14:textId="71FDF3CE" w:rsidR="00CF65C2" w:rsidRDefault="00CF65C2" w:rsidP="00CF65C2">
                <w:r>
                  <w:rPr>
                    <w:rFonts w:ascii="MS Gothic" w:eastAsia="MS Gothic" w:hAnsi="MS Gothic" w:hint="eastAsia"/>
                  </w:rPr>
                  <w:t>☐</w:t>
                </w:r>
              </w:p>
            </w:tc>
          </w:sdtContent>
        </w:sdt>
      </w:tr>
    </w:tbl>
    <w:p w14:paraId="6D80A34F" w14:textId="77777777" w:rsidR="0056671C" w:rsidRDefault="0056671C" w:rsidP="00E92ACB"/>
    <w:p w14:paraId="4B4EF448" w14:textId="7CA613B5" w:rsidR="004B4773" w:rsidRDefault="004B4773" w:rsidP="00A0799D">
      <w:pPr>
        <w:pStyle w:val="Heading3"/>
      </w:pPr>
      <w:r>
        <w:t>Practice management</w:t>
      </w:r>
    </w:p>
    <w:p w14:paraId="0A4F0D1B" w14:textId="718C557B" w:rsidR="004B4773" w:rsidRDefault="004B4773" w:rsidP="008B516A">
      <w:r>
        <w:t>Before starting out in practice, it is important to think about how you will manage the practice. The following table offers a number of aspects to consider.</w:t>
      </w:r>
    </w:p>
    <w:p w14:paraId="2CB0DB4C" w14:textId="77777777" w:rsidR="00CF65C2" w:rsidRDefault="00CF65C2" w:rsidP="008B516A"/>
    <w:tbl>
      <w:tblPr>
        <w:tblStyle w:val="TableGrid"/>
        <w:tblW w:w="0" w:type="auto"/>
        <w:tblLook w:val="04A0" w:firstRow="1" w:lastRow="0" w:firstColumn="1" w:lastColumn="0" w:noHBand="0" w:noVBand="1"/>
      </w:tblPr>
      <w:tblGrid>
        <w:gridCol w:w="8500"/>
        <w:gridCol w:w="516"/>
      </w:tblGrid>
      <w:tr w:rsidR="00CF65C2" w14:paraId="334C2A52" w14:textId="77777777" w:rsidTr="00511DC8">
        <w:tc>
          <w:tcPr>
            <w:tcW w:w="8500" w:type="dxa"/>
            <w:shd w:val="clear" w:color="auto" w:fill="F2F2F2" w:themeFill="background1" w:themeFillShade="F2"/>
          </w:tcPr>
          <w:p w14:paraId="71A7FDD4" w14:textId="77777777" w:rsidR="00CF65C2" w:rsidRPr="004B4517" w:rsidRDefault="00CF65C2" w:rsidP="00CF65C2">
            <w:pPr>
              <w:rPr>
                <w:b/>
                <w:bCs/>
              </w:rPr>
            </w:pPr>
            <w:r w:rsidRPr="004B4517">
              <w:rPr>
                <w:b/>
                <w:bCs/>
              </w:rPr>
              <w:t>Charge out rates</w:t>
            </w:r>
          </w:p>
          <w:p w14:paraId="4BD84E94" w14:textId="583BCDAD" w:rsidR="00CF65C2" w:rsidRDefault="00CF65C2">
            <w:r w:rsidRPr="004B4517">
              <w:t>Have you considered how you will set your charge ou</w:t>
            </w:r>
            <w:r w:rsidR="00CE56D5">
              <w:t>t</w:t>
            </w:r>
            <w:r w:rsidRPr="004B4517">
              <w:t xml:space="preserve"> rates and fees? Guidance is available on the </w:t>
            </w:r>
            <w:hyperlink r:id="rId42" w:history="1">
              <w:r w:rsidRPr="004B4517">
                <w:rPr>
                  <w:rStyle w:val="Hyperlink"/>
                </w:rPr>
                <w:t>Fees and charge-out rates</w:t>
              </w:r>
            </w:hyperlink>
            <w:r w:rsidRPr="004B4517">
              <w:t xml:space="preserve"> webpage and details of how to communicate your fees with potential clients is available in the</w:t>
            </w:r>
            <w:r w:rsidR="00483EEE">
              <w:t xml:space="preserve"> </w:t>
            </w:r>
            <w:hyperlink r:id="rId43" w:history="1">
              <w:r w:rsidR="00483EEE" w:rsidRPr="00483EEE">
                <w:rPr>
                  <w:rStyle w:val="Hyperlink"/>
                </w:rPr>
                <w:t>Fee information</w:t>
              </w:r>
            </w:hyperlink>
            <w:r w:rsidR="00483EEE">
              <w:t xml:space="preserve"> helpsheet.</w:t>
            </w:r>
          </w:p>
          <w:p w14:paraId="4033D8B3" w14:textId="54C1AC32" w:rsidR="00942199" w:rsidRPr="004B4517" w:rsidRDefault="00942199" w:rsidP="00CF65C2"/>
        </w:tc>
        <w:sdt>
          <w:sdtPr>
            <w:id w:val="-183667584"/>
            <w14:checkbox>
              <w14:checked w14:val="0"/>
              <w14:checkedState w14:val="2612" w14:font="MS Gothic"/>
              <w14:uncheckedState w14:val="2610" w14:font="MS Gothic"/>
            </w14:checkbox>
          </w:sdtPr>
          <w:sdtEndPr/>
          <w:sdtContent>
            <w:tc>
              <w:tcPr>
                <w:tcW w:w="516" w:type="dxa"/>
                <w:shd w:val="clear" w:color="auto" w:fill="F2F2F2" w:themeFill="background1" w:themeFillShade="F2"/>
              </w:tcPr>
              <w:p w14:paraId="200D24DE" w14:textId="5F2DC911" w:rsidR="00CF65C2" w:rsidRDefault="00CF65C2" w:rsidP="00CF65C2">
                <w:r>
                  <w:rPr>
                    <w:rFonts w:ascii="MS Gothic" w:eastAsia="MS Gothic" w:hAnsi="MS Gothic" w:hint="eastAsia"/>
                  </w:rPr>
                  <w:t>☐</w:t>
                </w:r>
              </w:p>
            </w:tc>
          </w:sdtContent>
        </w:sdt>
      </w:tr>
      <w:tr w:rsidR="00CF65C2" w14:paraId="6FA4B9F0" w14:textId="77777777" w:rsidTr="00CF65C2">
        <w:tc>
          <w:tcPr>
            <w:tcW w:w="8500" w:type="dxa"/>
          </w:tcPr>
          <w:p w14:paraId="7832478A" w14:textId="77777777" w:rsidR="00CF65C2" w:rsidRPr="004B4517" w:rsidRDefault="00CF65C2" w:rsidP="00CF65C2">
            <w:pPr>
              <w:rPr>
                <w:b/>
                <w:bCs/>
              </w:rPr>
            </w:pPr>
            <w:r w:rsidRPr="004B4517">
              <w:rPr>
                <w:b/>
                <w:bCs/>
              </w:rPr>
              <w:t>Employing staff</w:t>
            </w:r>
          </w:p>
          <w:p w14:paraId="3BEF8314" w14:textId="77777777" w:rsidR="00CF65C2" w:rsidRPr="004B4517" w:rsidRDefault="00CF65C2" w:rsidP="00CF65C2">
            <w:r w:rsidRPr="004B4517">
              <w:lastRenderedPageBreak/>
              <w:t>Will you be employing staff? If so, you need to consider the human resource implications of being an employer (including PAYE/NI, employment law and employer’s liability insurance).</w:t>
            </w:r>
          </w:p>
          <w:p w14:paraId="0C00652F" w14:textId="77777777" w:rsidR="00CF65C2" w:rsidRPr="004B4517" w:rsidRDefault="00CF65C2" w:rsidP="00CF65C2"/>
        </w:tc>
        <w:sdt>
          <w:sdtPr>
            <w:id w:val="337039138"/>
            <w14:checkbox>
              <w14:checked w14:val="0"/>
              <w14:checkedState w14:val="2612" w14:font="MS Gothic"/>
              <w14:uncheckedState w14:val="2610" w14:font="MS Gothic"/>
            </w14:checkbox>
          </w:sdtPr>
          <w:sdtEndPr/>
          <w:sdtContent>
            <w:tc>
              <w:tcPr>
                <w:tcW w:w="516" w:type="dxa"/>
              </w:tcPr>
              <w:p w14:paraId="063663F1" w14:textId="58067032" w:rsidR="00CF65C2" w:rsidRDefault="00CF65C2" w:rsidP="00CF65C2">
                <w:r>
                  <w:rPr>
                    <w:rFonts w:ascii="MS Gothic" w:eastAsia="MS Gothic" w:hAnsi="MS Gothic" w:hint="eastAsia"/>
                  </w:rPr>
                  <w:t>☐</w:t>
                </w:r>
              </w:p>
            </w:tc>
          </w:sdtContent>
        </w:sdt>
      </w:tr>
      <w:tr w:rsidR="00CF65C2" w14:paraId="066A755D" w14:textId="77777777" w:rsidTr="00511DC8">
        <w:tc>
          <w:tcPr>
            <w:tcW w:w="8500" w:type="dxa"/>
            <w:shd w:val="clear" w:color="auto" w:fill="F2F2F2" w:themeFill="background1" w:themeFillShade="F2"/>
          </w:tcPr>
          <w:p w14:paraId="2F61A615" w14:textId="5717EA61" w:rsidR="00CF65C2" w:rsidRPr="004B4517" w:rsidRDefault="00CF65C2" w:rsidP="00CF65C2">
            <w:pPr>
              <w:rPr>
                <w:b/>
                <w:bCs/>
              </w:rPr>
            </w:pPr>
            <w:r w:rsidRPr="004B4517">
              <w:rPr>
                <w:b/>
                <w:bCs/>
              </w:rPr>
              <w:t>Subcontracting</w:t>
            </w:r>
          </w:p>
          <w:p w14:paraId="1BA045FB" w14:textId="20D3E596" w:rsidR="00CF65C2" w:rsidRDefault="00CF65C2" w:rsidP="00CF65C2">
            <w:r w:rsidRPr="004B4517">
              <w:t xml:space="preserve">Will you be acting as a subcontractor for another practice or making use of a subcontractor to provide your services? If so, guidance is available in the helpsheet </w:t>
            </w:r>
            <w:hyperlink r:id="rId44" w:history="1">
              <w:r w:rsidRPr="004B4517">
                <w:rPr>
                  <w:rStyle w:val="Hyperlink"/>
                </w:rPr>
                <w:t>Subcontracting accountancy services</w:t>
              </w:r>
            </w:hyperlink>
            <w:r w:rsidRPr="004B4517">
              <w:t>.</w:t>
            </w:r>
          </w:p>
          <w:p w14:paraId="1D7E1E88" w14:textId="502D42D4" w:rsidR="00942199" w:rsidRPr="004B4517" w:rsidRDefault="00942199" w:rsidP="00CF65C2"/>
        </w:tc>
        <w:sdt>
          <w:sdtPr>
            <w:id w:val="266354940"/>
            <w14:checkbox>
              <w14:checked w14:val="0"/>
              <w14:checkedState w14:val="2612" w14:font="MS Gothic"/>
              <w14:uncheckedState w14:val="2610" w14:font="MS Gothic"/>
            </w14:checkbox>
          </w:sdtPr>
          <w:sdtEndPr/>
          <w:sdtContent>
            <w:tc>
              <w:tcPr>
                <w:tcW w:w="516" w:type="dxa"/>
                <w:shd w:val="clear" w:color="auto" w:fill="F2F2F2" w:themeFill="background1" w:themeFillShade="F2"/>
              </w:tcPr>
              <w:p w14:paraId="0A660214" w14:textId="61EACE10" w:rsidR="00CF65C2" w:rsidRDefault="00CF65C2" w:rsidP="00CF65C2">
                <w:r>
                  <w:rPr>
                    <w:rFonts w:ascii="MS Gothic" w:eastAsia="MS Gothic" w:hAnsi="MS Gothic" w:hint="eastAsia"/>
                  </w:rPr>
                  <w:t>☐</w:t>
                </w:r>
              </w:p>
            </w:tc>
          </w:sdtContent>
        </w:sdt>
      </w:tr>
      <w:tr w:rsidR="00CF65C2" w14:paraId="1F17D2A2" w14:textId="77777777" w:rsidTr="00CF65C2">
        <w:tc>
          <w:tcPr>
            <w:tcW w:w="8500" w:type="dxa"/>
          </w:tcPr>
          <w:p w14:paraId="414E1A6D" w14:textId="77777777" w:rsidR="00CF65C2" w:rsidRPr="004B4517" w:rsidRDefault="00CF65C2" w:rsidP="00CF65C2">
            <w:pPr>
              <w:rPr>
                <w:b/>
                <w:bCs/>
              </w:rPr>
            </w:pPr>
            <w:r w:rsidRPr="004B4517">
              <w:rPr>
                <w:b/>
                <w:bCs/>
              </w:rPr>
              <w:t>IT systems</w:t>
            </w:r>
          </w:p>
          <w:p w14:paraId="72D52B4E" w14:textId="001F80FD" w:rsidR="00C26FC3" w:rsidRPr="00C26FC3" w:rsidRDefault="00CF65C2" w:rsidP="00C26FC3">
            <w:pPr>
              <w:rPr>
                <w:b/>
                <w:bCs/>
              </w:rPr>
            </w:pPr>
            <w:r w:rsidRPr="004B4517">
              <w:t xml:space="preserve">Have you considered your IT systems? You may wish to consult our guide on </w:t>
            </w:r>
            <w:hyperlink r:id="rId45" w:history="1">
              <w:r w:rsidRPr="004B4517">
                <w:rPr>
                  <w:rStyle w:val="Hyperlink"/>
                </w:rPr>
                <w:t>5 things to think about when considering your IT options</w:t>
              </w:r>
            </w:hyperlink>
            <w:r w:rsidRPr="004B4517">
              <w:t xml:space="preserve"> and the ICO’s document; </w:t>
            </w:r>
            <w:hyperlink r:id="rId46" w:history="1">
              <w:r w:rsidR="00C26FC3" w:rsidRPr="00C26FC3">
                <w:rPr>
                  <w:rStyle w:val="Hyperlink"/>
                </w:rPr>
                <w:t>Practical ways to keep your IT systems safe and secure</w:t>
              </w:r>
            </w:hyperlink>
            <w:r w:rsidR="00C26FC3">
              <w:t xml:space="preserve">. </w:t>
            </w:r>
          </w:p>
          <w:p w14:paraId="3D2517D3" w14:textId="6C5892F9" w:rsidR="00942199" w:rsidRPr="004B4517" w:rsidRDefault="00942199" w:rsidP="00C26FC3"/>
        </w:tc>
        <w:sdt>
          <w:sdtPr>
            <w:id w:val="-372930044"/>
            <w14:checkbox>
              <w14:checked w14:val="0"/>
              <w14:checkedState w14:val="2612" w14:font="MS Gothic"/>
              <w14:uncheckedState w14:val="2610" w14:font="MS Gothic"/>
            </w14:checkbox>
          </w:sdtPr>
          <w:sdtEndPr/>
          <w:sdtContent>
            <w:tc>
              <w:tcPr>
                <w:tcW w:w="516" w:type="dxa"/>
              </w:tcPr>
              <w:p w14:paraId="530FC57B" w14:textId="52B495C8" w:rsidR="00CF65C2" w:rsidRDefault="00CF65C2" w:rsidP="00CF65C2">
                <w:r>
                  <w:rPr>
                    <w:rFonts w:ascii="MS Gothic" w:eastAsia="MS Gothic" w:hAnsi="MS Gothic" w:hint="eastAsia"/>
                  </w:rPr>
                  <w:t>☐</w:t>
                </w:r>
              </w:p>
            </w:tc>
          </w:sdtContent>
        </w:sdt>
      </w:tr>
      <w:tr w:rsidR="00CF65C2" w14:paraId="759A58A3" w14:textId="77777777" w:rsidTr="00511DC8">
        <w:tc>
          <w:tcPr>
            <w:tcW w:w="8500" w:type="dxa"/>
            <w:shd w:val="clear" w:color="auto" w:fill="F2F2F2" w:themeFill="background1" w:themeFillShade="F2"/>
          </w:tcPr>
          <w:p w14:paraId="26FA4D0A" w14:textId="77777777" w:rsidR="00CF65C2" w:rsidRPr="004B4517" w:rsidRDefault="00CF65C2" w:rsidP="00CF65C2">
            <w:pPr>
              <w:rPr>
                <w:b/>
                <w:bCs/>
              </w:rPr>
            </w:pPr>
            <w:r w:rsidRPr="004B4517">
              <w:rPr>
                <w:b/>
                <w:bCs/>
              </w:rPr>
              <w:t>Obtaining clients</w:t>
            </w:r>
          </w:p>
          <w:p w14:paraId="6B6A2D9B" w14:textId="77777777" w:rsidR="00CF65C2" w:rsidRPr="004B4517" w:rsidRDefault="00CF65C2" w:rsidP="00CF65C2">
            <w:r w:rsidRPr="004B4517">
              <w:t xml:space="preserve">Have you considered how you will obtain new clients for your practice? </w:t>
            </w:r>
          </w:p>
          <w:p w14:paraId="63647D41" w14:textId="77777777" w:rsidR="00CF65C2" w:rsidRPr="004B4517" w:rsidRDefault="00CF65C2" w:rsidP="00CF65C2"/>
          <w:p w14:paraId="212620D3" w14:textId="0E19A2A3" w:rsidR="00CF65C2" w:rsidRDefault="00CF65C2" w:rsidP="00CF65C2">
            <w:r w:rsidRPr="004B4517">
              <w:t xml:space="preserve">Our </w:t>
            </w:r>
            <w:hyperlink r:id="rId47" w:history="1">
              <w:r w:rsidRPr="004B4517">
                <w:rPr>
                  <w:rStyle w:val="Hyperlink"/>
                </w:rPr>
                <w:t>Marketing</w:t>
              </w:r>
            </w:hyperlink>
            <w:r w:rsidRPr="004B4517">
              <w:t xml:space="preserve"> helpsheet highlights key ethical and regulatory considerations when promoting your practice and our </w:t>
            </w:r>
            <w:hyperlink r:id="rId48" w:history="1">
              <w:r w:rsidRPr="004B4517">
                <w:rPr>
                  <w:rStyle w:val="Hyperlink"/>
                </w:rPr>
                <w:t>Marketing your practice</w:t>
              </w:r>
            </w:hyperlink>
            <w:r w:rsidRPr="004B4517">
              <w:t xml:space="preserve"> webpage offers a wide range of suggestions. </w:t>
            </w:r>
          </w:p>
          <w:p w14:paraId="07AA3D60" w14:textId="77777777" w:rsidR="00483EEE" w:rsidRPr="004B4517" w:rsidRDefault="00483EEE" w:rsidP="00CF65C2"/>
          <w:p w14:paraId="761C7F25" w14:textId="783BA664" w:rsidR="00CF65C2" w:rsidRDefault="00CF65C2" w:rsidP="00CF65C2">
            <w:r w:rsidRPr="004B4517">
              <w:t xml:space="preserve">If you are looking to purchase a block of fees from an existing practice our helpsheet </w:t>
            </w:r>
            <w:hyperlink r:id="rId49" w:history="1">
              <w:r w:rsidRPr="004B4517">
                <w:rPr>
                  <w:rStyle w:val="Hyperlink"/>
                </w:rPr>
                <w:t>Buying and selling fees</w:t>
              </w:r>
            </w:hyperlink>
            <w:r w:rsidRPr="004B4517">
              <w:t xml:space="preserve"> sets out additional considerations.</w:t>
            </w:r>
          </w:p>
          <w:p w14:paraId="6FF8473F" w14:textId="4EC5FBF1" w:rsidR="00942199" w:rsidRPr="004B4517" w:rsidRDefault="00942199" w:rsidP="00CF65C2"/>
        </w:tc>
        <w:sdt>
          <w:sdtPr>
            <w:id w:val="189266277"/>
            <w14:checkbox>
              <w14:checked w14:val="0"/>
              <w14:checkedState w14:val="2612" w14:font="MS Gothic"/>
              <w14:uncheckedState w14:val="2610" w14:font="MS Gothic"/>
            </w14:checkbox>
          </w:sdtPr>
          <w:sdtEndPr/>
          <w:sdtContent>
            <w:tc>
              <w:tcPr>
                <w:tcW w:w="516" w:type="dxa"/>
                <w:shd w:val="clear" w:color="auto" w:fill="F2F2F2" w:themeFill="background1" w:themeFillShade="F2"/>
              </w:tcPr>
              <w:p w14:paraId="22D23725" w14:textId="7A64BC97" w:rsidR="00CF65C2" w:rsidRDefault="00CF65C2" w:rsidP="00CF65C2">
                <w:r>
                  <w:rPr>
                    <w:rFonts w:ascii="MS Gothic" w:eastAsia="MS Gothic" w:hAnsi="MS Gothic" w:hint="eastAsia"/>
                  </w:rPr>
                  <w:t>☐</w:t>
                </w:r>
              </w:p>
            </w:tc>
          </w:sdtContent>
        </w:sdt>
      </w:tr>
    </w:tbl>
    <w:p w14:paraId="1159F76E" w14:textId="000521E4" w:rsidR="00AC1EC2" w:rsidRDefault="00AC1EC2" w:rsidP="00C55780">
      <w:pPr>
        <w:pStyle w:val="Heading2"/>
      </w:pPr>
      <w:r>
        <w:t>Additional resources</w:t>
      </w:r>
    </w:p>
    <w:p w14:paraId="7DA1E4E8" w14:textId="1DB01388" w:rsidR="00AC1EC2" w:rsidRPr="00AC1EC2" w:rsidRDefault="00C55780" w:rsidP="00A0799D">
      <w:r>
        <w:t xml:space="preserve">Further practice resources are available from our </w:t>
      </w:r>
      <w:hyperlink r:id="rId50" w:history="1">
        <w:r w:rsidRPr="00C55780">
          <w:rPr>
            <w:rStyle w:val="Hyperlink"/>
          </w:rPr>
          <w:t>S</w:t>
        </w:r>
        <w:r w:rsidR="00B45ED0">
          <w:rPr>
            <w:rStyle w:val="Hyperlink"/>
          </w:rPr>
          <w:t xml:space="preserve">tart your own </w:t>
        </w:r>
        <w:r w:rsidRPr="00C55780">
          <w:rPr>
            <w:rStyle w:val="Hyperlink"/>
          </w:rPr>
          <w:t>practice</w:t>
        </w:r>
      </w:hyperlink>
      <w:r>
        <w:t xml:space="preserve"> </w:t>
      </w:r>
      <w:r w:rsidR="00B80BE0">
        <w:t>web</w:t>
      </w:r>
      <w:r>
        <w:t xml:space="preserve">page. You can also sign up to </w:t>
      </w:r>
      <w:hyperlink r:id="rId51" w:history="1">
        <w:r w:rsidRPr="00C55780">
          <w:rPr>
            <w:rStyle w:val="Hyperlink"/>
          </w:rPr>
          <w:t>Practicewire</w:t>
        </w:r>
      </w:hyperlink>
      <w:r>
        <w:t xml:space="preserve"> to keep yourself up to date with the latest practice news from ICAEW and book yourself onto a wide range of </w:t>
      </w:r>
      <w:hyperlink r:id="rId52" w:history="1">
        <w:r w:rsidRPr="00C55780">
          <w:rPr>
            <w:rStyle w:val="Hyperlink"/>
          </w:rPr>
          <w:t>events</w:t>
        </w:r>
      </w:hyperlink>
      <w:r>
        <w:t xml:space="preserve"> to support you in both setting up and running your practice.</w:t>
      </w:r>
    </w:p>
    <w:p w14:paraId="4375FD9E" w14:textId="77777777" w:rsidR="00AC1EC2" w:rsidRDefault="00AC1EC2" w:rsidP="00E92ACB"/>
    <w:p w14:paraId="0E955F50" w14:textId="2A480F6B" w:rsidR="00C55780" w:rsidRDefault="00C55780" w:rsidP="00E92ACB">
      <w:r>
        <w:t xml:space="preserve">ICAEW’s range of </w:t>
      </w:r>
      <w:hyperlink r:id="rId53" w:history="1">
        <w:r w:rsidRPr="00C55780">
          <w:rPr>
            <w:rStyle w:val="Hyperlink"/>
          </w:rPr>
          <w:t>faculties</w:t>
        </w:r>
      </w:hyperlink>
      <w:r>
        <w:t xml:space="preserve"> and </w:t>
      </w:r>
      <w:hyperlink r:id="rId54" w:history="1">
        <w:r w:rsidRPr="00C55780">
          <w:rPr>
            <w:rStyle w:val="Hyperlink"/>
          </w:rPr>
          <w:t>communities</w:t>
        </w:r>
      </w:hyperlink>
      <w:r>
        <w:t xml:space="preserve"> are designed to support you in areas of work and industry sectors that are</w:t>
      </w:r>
      <w:r w:rsidR="002941B1">
        <w:t xml:space="preserve"> of particular interest to you.</w:t>
      </w:r>
    </w:p>
    <w:p w14:paraId="7F1CDE88" w14:textId="77777777" w:rsidR="00C55780" w:rsidRDefault="00C55780" w:rsidP="00E92ACB"/>
    <w:p w14:paraId="135D47CD" w14:textId="3EAF5BAF" w:rsidR="00257882" w:rsidRDefault="00C55780" w:rsidP="0000505A">
      <w:r>
        <w:t xml:space="preserve">The </w:t>
      </w:r>
      <w:hyperlink r:id="rId55" w:history="1">
        <w:r w:rsidRPr="00C55780">
          <w:rPr>
            <w:rStyle w:val="Hyperlink"/>
          </w:rPr>
          <w:t>Library and Information Service</w:t>
        </w:r>
      </w:hyperlink>
      <w:r>
        <w:t xml:space="preserve"> offers a range of services and resources to support you in all areas of your work and includes a document supply, client screening and enquiry service.</w:t>
      </w:r>
    </w:p>
    <w:p w14:paraId="61F70D58" w14:textId="77777777" w:rsidR="00F51D68" w:rsidRDefault="00F51D68" w:rsidP="00F51D68">
      <w:pPr>
        <w:pStyle w:val="Heading2"/>
      </w:pPr>
      <w:r>
        <w:t>If in doubt seek advice</w:t>
      </w:r>
    </w:p>
    <w:p w14:paraId="5DC7E174" w14:textId="6549ECCD" w:rsidR="00E92ACB" w:rsidRDefault="00E92ACB" w:rsidP="00E92ACB">
      <w:r>
        <w:t xml:space="preserve">For guidance please contact </w:t>
      </w:r>
      <w:r w:rsidR="00E600F1">
        <w:t xml:space="preserve">Technical </w:t>
      </w:r>
      <w:r>
        <w:t>Advisory Services on +44 (0)1908 248</w:t>
      </w:r>
      <w:r w:rsidR="00501EB4">
        <w:t xml:space="preserve"> </w:t>
      </w:r>
      <w:r>
        <w:t>250</w:t>
      </w:r>
      <w:r w:rsidR="00E600F1">
        <w:t>.</w:t>
      </w:r>
      <w:r>
        <w:t xml:space="preserve"> </w:t>
      </w:r>
    </w:p>
    <w:p w14:paraId="44CEE493" w14:textId="77777777" w:rsidR="00E92ACB" w:rsidRDefault="00E92ACB" w:rsidP="00E92ACB"/>
    <w:p w14:paraId="5023B89D" w14:textId="09FC4A6E" w:rsidR="00E92ACB" w:rsidRDefault="00E92ACB" w:rsidP="00E92ACB">
      <w:r>
        <w:t xml:space="preserve">The </w:t>
      </w:r>
      <w:hyperlink r:id="rId56" w:history="1">
        <w:r w:rsidRPr="00E92ACB">
          <w:rPr>
            <w:rStyle w:val="Hyperlink"/>
          </w:rPr>
          <w:t>Support Members Scheme</w:t>
        </w:r>
      </w:hyperlink>
      <w:r>
        <w:t xml:space="preserve"> provide all ICAEW members with free and confidential support at any time and in relation to any situation. If you would like to speak to a support member ple</w:t>
      </w:r>
      <w:r w:rsidR="002941B1">
        <w:t xml:space="preserve">ase call free on </w:t>
      </w:r>
      <w:r w:rsidR="00483EEE">
        <w:t>+44 (</w:t>
      </w:r>
      <w:r w:rsidR="002941B1">
        <w:t>0</w:t>
      </w:r>
      <w:r w:rsidR="00483EEE">
        <w:t>)</w:t>
      </w:r>
      <w:r w:rsidR="002941B1">
        <w:t>800 917 3526.</w:t>
      </w:r>
    </w:p>
    <w:p w14:paraId="056E3761" w14:textId="77777777" w:rsidR="00E92ACB" w:rsidRDefault="00E92ACB" w:rsidP="00E92ACB"/>
    <w:p w14:paraId="693D5AAA" w14:textId="0220EA34" w:rsidR="00FD6ADD" w:rsidRDefault="00E92ACB" w:rsidP="001552AA">
      <w:r>
        <w:lastRenderedPageBreak/>
        <w:t xml:space="preserve">The </w:t>
      </w:r>
      <w:hyperlink r:id="rId57" w:history="1">
        <w:r w:rsidR="00E8165D">
          <w:rPr>
            <w:rStyle w:val="Hyperlink"/>
          </w:rPr>
          <w:t>caba</w:t>
        </w:r>
      </w:hyperlink>
      <w:r>
        <w:t xml:space="preserve"> supports chartered accountants and their families through difficult and challenging times. For financial, practical and emotional support in confidence call +44 (0)1788 556 366. For free and confidential 24 hour advice and counselling call +44 (0)800 107 6163.</w:t>
      </w:r>
    </w:p>
    <w:p w14:paraId="0ADA9F65" w14:textId="77777777" w:rsidR="001552AA" w:rsidRDefault="001552AA" w:rsidP="001552AA"/>
    <w:p w14:paraId="4ECC9C3B" w14:textId="77777777" w:rsidR="002941B1" w:rsidRDefault="002941B1" w:rsidP="001552AA"/>
    <w:p w14:paraId="6FA4EA10" w14:textId="1C9786A8" w:rsidR="007E005A" w:rsidRPr="00E45FD8" w:rsidRDefault="007E005A" w:rsidP="00483EEE">
      <w:pPr>
        <w:pStyle w:val="Bodycopy"/>
        <w:rPr>
          <w:rFonts w:cs="Arial"/>
          <w:sz w:val="16"/>
          <w:szCs w:val="16"/>
        </w:rPr>
      </w:pPr>
      <w:r>
        <w:rPr>
          <w:rFonts w:cs="Arial"/>
          <w:sz w:val="16"/>
          <w:szCs w:val="16"/>
        </w:rPr>
        <w:t xml:space="preserve">© ICAEW </w:t>
      </w:r>
      <w:r w:rsidR="00483EEE">
        <w:rPr>
          <w:rFonts w:cs="Arial"/>
          <w:sz w:val="16"/>
          <w:szCs w:val="16"/>
        </w:rPr>
        <w:t>202</w:t>
      </w:r>
      <w:r w:rsidR="00C26FC3">
        <w:rPr>
          <w:rFonts w:cs="Arial"/>
          <w:sz w:val="16"/>
          <w:szCs w:val="16"/>
        </w:rPr>
        <w:t>5</w:t>
      </w:r>
      <w:r w:rsidR="00483EEE" w:rsidRPr="00E45FD8">
        <w:rPr>
          <w:rFonts w:cs="Arial"/>
          <w:sz w:val="16"/>
          <w:szCs w:val="16"/>
        </w:rPr>
        <w:t xml:space="preserve">  </w:t>
      </w:r>
      <w:r w:rsidRPr="00E45FD8">
        <w:rPr>
          <w:rFonts w:cs="Arial"/>
          <w:sz w:val="16"/>
          <w:szCs w:val="16"/>
        </w:rPr>
        <w:t>All rights reserved.</w:t>
      </w:r>
    </w:p>
    <w:p w14:paraId="24B44C25" w14:textId="77777777" w:rsidR="007E005A" w:rsidRPr="00E45FD8" w:rsidRDefault="007E005A" w:rsidP="007E005A">
      <w:pPr>
        <w:rPr>
          <w:rFonts w:cs="Arial"/>
          <w:sz w:val="16"/>
          <w:szCs w:val="16"/>
        </w:rPr>
      </w:pPr>
      <w:r w:rsidRPr="00E45FD8">
        <w:rPr>
          <w:rFonts w:cs="Arial"/>
          <w:sz w:val="16"/>
          <w:szCs w:val="16"/>
        </w:rPr>
        <w:t>ICAEW cannot accept responsibility for any person acting or refraining to act as a result of any material contained in this helpsheet. This helpsheet is designed to alert members to an important issue of general application. It is not intended to be a definitive statement covering all aspects but is a brief comment on a specific point.</w:t>
      </w:r>
    </w:p>
    <w:p w14:paraId="33D9E34F" w14:textId="77777777" w:rsidR="007E005A" w:rsidRPr="00E45FD8" w:rsidRDefault="007E005A" w:rsidP="007E005A">
      <w:pPr>
        <w:rPr>
          <w:rFonts w:cs="Arial"/>
          <w:sz w:val="16"/>
          <w:szCs w:val="16"/>
        </w:rPr>
      </w:pPr>
    </w:p>
    <w:p w14:paraId="48F22C8F" w14:textId="77777777" w:rsidR="007E005A" w:rsidRPr="00E45FD8" w:rsidRDefault="007E005A" w:rsidP="007E005A">
      <w:pPr>
        <w:rPr>
          <w:rFonts w:cs="Arial"/>
          <w:sz w:val="16"/>
          <w:szCs w:val="16"/>
        </w:rPr>
      </w:pPr>
      <w:r w:rsidRPr="00E45FD8">
        <w:rPr>
          <w:rFonts w:cs="Arial"/>
          <w:sz w:val="16"/>
          <w:szCs w:val="16"/>
        </w:rPr>
        <w:t>ICAEW members have permission to use and reproduce this helpsheet on the following conditions:</w:t>
      </w:r>
    </w:p>
    <w:p w14:paraId="0DA44225" w14:textId="77777777" w:rsidR="007E005A" w:rsidRPr="00E45FD8" w:rsidRDefault="007E005A" w:rsidP="007E005A">
      <w:pPr>
        <w:rPr>
          <w:rFonts w:cs="Arial"/>
          <w:sz w:val="16"/>
          <w:szCs w:val="16"/>
        </w:rPr>
      </w:pPr>
    </w:p>
    <w:p w14:paraId="718A30E6" w14:textId="77777777" w:rsidR="007E005A" w:rsidRPr="00E45FD8" w:rsidRDefault="007E005A" w:rsidP="007E005A">
      <w:pPr>
        <w:numPr>
          <w:ilvl w:val="0"/>
          <w:numId w:val="1"/>
        </w:numPr>
        <w:spacing w:line="240" w:lineRule="auto"/>
        <w:contextualSpacing/>
        <w:rPr>
          <w:rFonts w:cs="Arial"/>
          <w:sz w:val="16"/>
          <w:szCs w:val="16"/>
        </w:rPr>
      </w:pPr>
      <w:r w:rsidRPr="00E45FD8">
        <w:rPr>
          <w:rFonts w:cs="Arial"/>
          <w:sz w:val="16"/>
          <w:szCs w:val="16"/>
        </w:rPr>
        <w:t>This permission is strictly limited to ICAEW members only who are using the helpsheet for guidance only.</w:t>
      </w:r>
    </w:p>
    <w:p w14:paraId="5D82CEE1" w14:textId="77777777" w:rsidR="007E005A" w:rsidRPr="00E45FD8" w:rsidRDefault="007E005A" w:rsidP="007E005A">
      <w:pPr>
        <w:numPr>
          <w:ilvl w:val="0"/>
          <w:numId w:val="1"/>
        </w:numPr>
        <w:spacing w:line="240" w:lineRule="auto"/>
        <w:contextualSpacing/>
        <w:rPr>
          <w:rFonts w:cs="Arial"/>
          <w:sz w:val="16"/>
          <w:szCs w:val="16"/>
        </w:rPr>
      </w:pPr>
      <w:r w:rsidRPr="00E45FD8">
        <w:rPr>
          <w:rFonts w:cs="Arial"/>
          <w:sz w:val="16"/>
          <w:szCs w:val="16"/>
        </w:rPr>
        <w:t>The helpsheet is to be reproduced for personal, non-commercial use only and is not for re-distribution.</w:t>
      </w:r>
    </w:p>
    <w:p w14:paraId="7E477A28" w14:textId="77777777" w:rsidR="007E005A" w:rsidRPr="00E45FD8" w:rsidRDefault="007E005A" w:rsidP="007E005A">
      <w:pPr>
        <w:rPr>
          <w:rFonts w:cs="Arial"/>
          <w:sz w:val="16"/>
          <w:szCs w:val="16"/>
        </w:rPr>
      </w:pPr>
    </w:p>
    <w:p w14:paraId="17264A5E" w14:textId="77777777" w:rsidR="00964037" w:rsidRDefault="007E005A" w:rsidP="00CE0F63">
      <w:r w:rsidRPr="00E45FD8">
        <w:rPr>
          <w:rFonts w:cs="Arial"/>
          <w:sz w:val="16"/>
          <w:szCs w:val="16"/>
        </w:rPr>
        <w:t>For further details members are invited to telephone the Technical Advisory Service</w:t>
      </w:r>
      <w:r w:rsidRPr="00E45FD8">
        <w:rPr>
          <w:rFonts w:cs="Arial"/>
          <w:b/>
          <w:bCs/>
          <w:sz w:val="16"/>
          <w:szCs w:val="16"/>
        </w:rPr>
        <w:t xml:space="preserve"> T</w:t>
      </w:r>
      <w:r w:rsidRPr="00E45FD8">
        <w:rPr>
          <w:rFonts w:cs="Arial"/>
          <w:sz w:val="16"/>
          <w:szCs w:val="16"/>
        </w:rPr>
        <w:t xml:space="preserve"> +44 (0)1908 248250. The Technical Advisory Service comprises the technical enquiries, ethics advice and anti-money laundering helplines. For further details visit </w:t>
      </w:r>
      <w:hyperlink r:id="rId58" w:history="1">
        <w:r w:rsidRPr="00E45FD8">
          <w:rPr>
            <w:rFonts w:cs="Arial"/>
            <w:color w:val="CC0000"/>
            <w:sz w:val="16"/>
            <w:szCs w:val="16"/>
            <w:u w:val="single" w:color="CC0000"/>
          </w:rPr>
          <w:t>icaew.com/tas</w:t>
        </w:r>
      </w:hyperlink>
    </w:p>
    <w:sectPr w:rsidR="00964037" w:rsidSect="00964037">
      <w:footerReference w:type="default" r:id="rId59"/>
      <w:pgSz w:w="11906" w:h="16838"/>
      <w:pgMar w:top="1440" w:right="1440" w:bottom="26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81CA" w14:textId="77777777" w:rsidR="0092750F" w:rsidRDefault="0092750F" w:rsidP="000C1B69">
      <w:pPr>
        <w:spacing w:line="240" w:lineRule="auto"/>
      </w:pPr>
      <w:r>
        <w:separator/>
      </w:r>
    </w:p>
  </w:endnote>
  <w:endnote w:type="continuationSeparator" w:id="0">
    <w:p w14:paraId="4D397753" w14:textId="77777777" w:rsidR="0092750F" w:rsidRDefault="0092750F" w:rsidP="000C1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F71D" w14:textId="77777777" w:rsidR="0092750F" w:rsidRPr="00FA5A6E" w:rsidRDefault="0092750F" w:rsidP="0092750F">
    <w:pPr>
      <w:pStyle w:val="Footer"/>
    </w:pPr>
    <w:r>
      <w:rPr>
        <w:noProof/>
        <w:lang w:eastAsia="zh-TW"/>
      </w:rPr>
      <mc:AlternateContent>
        <mc:Choice Requires="wps">
          <w:drawing>
            <wp:anchor distT="0" distB="0" distL="114300" distR="114300" simplePos="0" relativeHeight="251659264" behindDoc="0" locked="0" layoutInCell="0" allowOverlap="1" wp14:anchorId="536E81BE" wp14:editId="51744225">
              <wp:simplePos x="0" y="0"/>
              <wp:positionH relativeFrom="margin">
                <wp:align>right</wp:align>
              </wp:positionH>
              <wp:positionV relativeFrom="paragraph">
                <wp:posOffset>82550</wp:posOffset>
              </wp:positionV>
              <wp:extent cx="348954" cy="1403985"/>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54" cy="1403985"/>
                      </a:xfrm>
                      <a:prstGeom prst="rect">
                        <a:avLst/>
                      </a:prstGeom>
                      <a:solidFill>
                        <a:srgbClr val="FFFFFF"/>
                      </a:solidFill>
                      <a:ln w="9525">
                        <a:noFill/>
                        <a:miter lim="800000"/>
                        <a:headEnd/>
                        <a:tailEnd/>
                      </a:ln>
                    </wps:spPr>
                    <wps:txbx>
                      <w:txbxContent>
                        <w:p w14:paraId="741A6366" w14:textId="77777777" w:rsidR="0092750F" w:rsidRPr="004B5568" w:rsidRDefault="0092750F" w:rsidP="0092750F">
                          <w:pPr>
                            <w:jc w:val="right"/>
                            <w:rPr>
                              <w:noProof/>
                              <w:sz w:val="16"/>
                              <w:szCs w:val="16"/>
                            </w:rPr>
                          </w:pPr>
                          <w:r w:rsidRPr="004B5568">
                            <w:rPr>
                              <w:noProof/>
                              <w:sz w:val="16"/>
                              <w:szCs w:val="16"/>
                            </w:rPr>
                            <w:fldChar w:fldCharType="begin"/>
                          </w:r>
                          <w:r w:rsidRPr="004B5568">
                            <w:rPr>
                              <w:noProof/>
                              <w:sz w:val="16"/>
                              <w:szCs w:val="16"/>
                            </w:rPr>
                            <w:instrText>page</w:instrText>
                          </w:r>
                          <w:r w:rsidRPr="004B5568">
                            <w:rPr>
                              <w:noProof/>
                              <w:sz w:val="16"/>
                              <w:szCs w:val="16"/>
                            </w:rPr>
                            <w:fldChar w:fldCharType="separate"/>
                          </w:r>
                          <w:r w:rsidR="0000505A">
                            <w:rPr>
                              <w:noProof/>
                              <w:sz w:val="16"/>
                              <w:szCs w:val="16"/>
                            </w:rPr>
                            <w:t>6</w:t>
                          </w:r>
                          <w:r w:rsidRPr="004B5568">
                            <w:rPr>
                              <w:noProof/>
                              <w:sz w:val="16"/>
                              <w:szCs w:val="16"/>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E81BE" id="_x0000_t202" coordsize="21600,21600" o:spt="202" path="m,l,21600r21600,l21600,xe">
              <v:stroke joinstyle="miter"/>
              <v:path gradientshapeok="t" o:connecttype="rect"/>
            </v:shapetype>
            <v:shape id="Text Box 2" o:spid="_x0000_s1026" type="#_x0000_t202" style="position:absolute;margin-left:-23.7pt;margin-top:6.5pt;width:27.5pt;height:110.5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" o:allowincell="f" stroked="f">
              <v:textbox style="mso-fit-shape-to-text:t" inset="0,0,0,0">
                <w:txbxContent>
                  <w:p w14:paraId="741A6366" w14:textId="77777777" w:rsidR="0092750F" w:rsidRPr="004B5568" w:rsidRDefault="0092750F" w:rsidP="0092750F">
                    <w:pPr>
                      <w:jc w:val="right"/>
                      <w:rPr>
                        <w:noProof/>
                        <w:sz w:val="16"/>
                        <w:szCs w:val="16"/>
                      </w:rPr>
                    </w:pPr>
                    <w:r w:rsidRPr="004B5568">
                      <w:rPr>
                        <w:noProof/>
                        <w:sz w:val="16"/>
                        <w:szCs w:val="16"/>
                      </w:rPr>
                      <w:fldChar w:fldCharType="begin"/>
                    </w:r>
                    <w:r w:rsidRPr="004B5568">
                      <w:rPr>
                        <w:noProof/>
                        <w:sz w:val="16"/>
                        <w:szCs w:val="16"/>
                      </w:rPr>
                      <w:instrText>page</w:instrText>
                    </w:r>
                    <w:r w:rsidRPr="004B5568">
                      <w:rPr>
                        <w:noProof/>
                        <w:sz w:val="16"/>
                        <w:szCs w:val="16"/>
                      </w:rPr>
                      <w:fldChar w:fldCharType="separate"/>
                    </w:r>
                    <w:r w:rsidR="0000505A">
                      <w:rPr>
                        <w:noProof/>
                        <w:sz w:val="16"/>
                        <w:szCs w:val="16"/>
                      </w:rPr>
                      <w:t>6</w:t>
                    </w:r>
                    <w:r w:rsidRPr="004B5568">
                      <w:rPr>
                        <w:noProof/>
                        <w:sz w:val="16"/>
                        <w:szCs w:val="16"/>
                      </w:rPr>
                      <w:fldChar w:fldCharType="end"/>
                    </w:r>
                  </w:p>
                </w:txbxContent>
              </v:textbox>
              <w10:wrap anchorx="margin"/>
            </v:shape>
          </w:pict>
        </mc:Fallback>
      </mc:AlternateContent>
    </w:r>
    <w:r w:rsidRPr="00FA5A6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E72E" w14:textId="77777777" w:rsidR="0092750F" w:rsidRDefault="0092750F" w:rsidP="000C1B69">
      <w:pPr>
        <w:spacing w:line="240" w:lineRule="auto"/>
      </w:pPr>
      <w:r>
        <w:separator/>
      </w:r>
    </w:p>
  </w:footnote>
  <w:footnote w:type="continuationSeparator" w:id="0">
    <w:p w14:paraId="4BF08A89" w14:textId="77777777" w:rsidR="0092750F" w:rsidRDefault="0092750F" w:rsidP="000C1B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B42"/>
    <w:multiLevelType w:val="hybridMultilevel"/>
    <w:tmpl w:val="BE5C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F0EC0"/>
    <w:multiLevelType w:val="hybridMultilevel"/>
    <w:tmpl w:val="1FF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96920"/>
    <w:multiLevelType w:val="hybridMultilevel"/>
    <w:tmpl w:val="3E7C98CA"/>
    <w:lvl w:ilvl="0" w:tplc="F788A55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5245FC"/>
    <w:multiLevelType w:val="hybridMultilevel"/>
    <w:tmpl w:val="5066F1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A180C6C"/>
    <w:multiLevelType w:val="hybridMultilevel"/>
    <w:tmpl w:val="767E5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2E1ADE"/>
    <w:multiLevelType w:val="hybridMultilevel"/>
    <w:tmpl w:val="D6F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95935">
    <w:abstractNumId w:val="2"/>
  </w:num>
  <w:num w:numId="2" w16cid:durableId="244384360">
    <w:abstractNumId w:val="4"/>
  </w:num>
  <w:num w:numId="3" w16cid:durableId="1981691780">
    <w:abstractNumId w:val="1"/>
  </w:num>
  <w:num w:numId="4" w16cid:durableId="1517309478">
    <w:abstractNumId w:val="5"/>
  </w:num>
  <w:num w:numId="5" w16cid:durableId="1308630432">
    <w:abstractNumId w:val="0"/>
  </w:num>
  <w:num w:numId="6" w16cid:durableId="1670718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69"/>
    <w:rsid w:val="0000505A"/>
    <w:rsid w:val="00031AC8"/>
    <w:rsid w:val="00077D4E"/>
    <w:rsid w:val="000B1614"/>
    <w:rsid w:val="000B2127"/>
    <w:rsid w:val="000C1B69"/>
    <w:rsid w:val="000D10F5"/>
    <w:rsid w:val="000F51D2"/>
    <w:rsid w:val="001247D4"/>
    <w:rsid w:val="001262DD"/>
    <w:rsid w:val="00132FC8"/>
    <w:rsid w:val="00142722"/>
    <w:rsid w:val="001552AA"/>
    <w:rsid w:val="0017686F"/>
    <w:rsid w:val="001C7F00"/>
    <w:rsid w:val="001D4D83"/>
    <w:rsid w:val="00251F0B"/>
    <w:rsid w:val="00257882"/>
    <w:rsid w:val="00274F22"/>
    <w:rsid w:val="00276E86"/>
    <w:rsid w:val="002941B1"/>
    <w:rsid w:val="002A02F7"/>
    <w:rsid w:val="002C5C7C"/>
    <w:rsid w:val="00332864"/>
    <w:rsid w:val="00340980"/>
    <w:rsid w:val="00344672"/>
    <w:rsid w:val="00373A24"/>
    <w:rsid w:val="003A7867"/>
    <w:rsid w:val="003B33B6"/>
    <w:rsid w:val="00444D04"/>
    <w:rsid w:val="00451CC7"/>
    <w:rsid w:val="0045351F"/>
    <w:rsid w:val="00460A81"/>
    <w:rsid w:val="00462CB2"/>
    <w:rsid w:val="004648C3"/>
    <w:rsid w:val="00466F14"/>
    <w:rsid w:val="004733CA"/>
    <w:rsid w:val="00483EEE"/>
    <w:rsid w:val="004945E4"/>
    <w:rsid w:val="004B4517"/>
    <w:rsid w:val="004B45F7"/>
    <w:rsid w:val="004B4773"/>
    <w:rsid w:val="004D5943"/>
    <w:rsid w:val="004F5B23"/>
    <w:rsid w:val="00501EB4"/>
    <w:rsid w:val="0051139E"/>
    <w:rsid w:val="00511DC8"/>
    <w:rsid w:val="0051792F"/>
    <w:rsid w:val="00535D86"/>
    <w:rsid w:val="00536D62"/>
    <w:rsid w:val="0056671C"/>
    <w:rsid w:val="00567D87"/>
    <w:rsid w:val="00572574"/>
    <w:rsid w:val="005A1C65"/>
    <w:rsid w:val="005E5283"/>
    <w:rsid w:val="005E798A"/>
    <w:rsid w:val="005F2B04"/>
    <w:rsid w:val="005F764B"/>
    <w:rsid w:val="0061124C"/>
    <w:rsid w:val="00621B78"/>
    <w:rsid w:val="00623F98"/>
    <w:rsid w:val="00645652"/>
    <w:rsid w:val="00645709"/>
    <w:rsid w:val="006D0171"/>
    <w:rsid w:val="007376FB"/>
    <w:rsid w:val="00750B89"/>
    <w:rsid w:val="00765110"/>
    <w:rsid w:val="007821EB"/>
    <w:rsid w:val="007E005A"/>
    <w:rsid w:val="008372F1"/>
    <w:rsid w:val="0084362D"/>
    <w:rsid w:val="008A3E16"/>
    <w:rsid w:val="008B516A"/>
    <w:rsid w:val="0090123B"/>
    <w:rsid w:val="00905A18"/>
    <w:rsid w:val="00926353"/>
    <w:rsid w:val="0092750F"/>
    <w:rsid w:val="00936A01"/>
    <w:rsid w:val="009419D9"/>
    <w:rsid w:val="00942199"/>
    <w:rsid w:val="009517B5"/>
    <w:rsid w:val="00964037"/>
    <w:rsid w:val="009740F8"/>
    <w:rsid w:val="00984E02"/>
    <w:rsid w:val="009B227C"/>
    <w:rsid w:val="009B69B7"/>
    <w:rsid w:val="00A075D4"/>
    <w:rsid w:val="00A0799D"/>
    <w:rsid w:val="00A417EA"/>
    <w:rsid w:val="00A55679"/>
    <w:rsid w:val="00A84807"/>
    <w:rsid w:val="00A97D02"/>
    <w:rsid w:val="00AB43F8"/>
    <w:rsid w:val="00AC1EC2"/>
    <w:rsid w:val="00AE2C71"/>
    <w:rsid w:val="00B04794"/>
    <w:rsid w:val="00B17D68"/>
    <w:rsid w:val="00B3063C"/>
    <w:rsid w:val="00B3317C"/>
    <w:rsid w:val="00B45ED0"/>
    <w:rsid w:val="00B80BE0"/>
    <w:rsid w:val="00B82103"/>
    <w:rsid w:val="00BF43B2"/>
    <w:rsid w:val="00C253C0"/>
    <w:rsid w:val="00C26FC3"/>
    <w:rsid w:val="00C40470"/>
    <w:rsid w:val="00C55780"/>
    <w:rsid w:val="00C65FEB"/>
    <w:rsid w:val="00C73E13"/>
    <w:rsid w:val="00C8654E"/>
    <w:rsid w:val="00CA17A1"/>
    <w:rsid w:val="00CB0897"/>
    <w:rsid w:val="00CB0FE2"/>
    <w:rsid w:val="00CB7277"/>
    <w:rsid w:val="00CE0F63"/>
    <w:rsid w:val="00CE200D"/>
    <w:rsid w:val="00CE56D5"/>
    <w:rsid w:val="00CF65C2"/>
    <w:rsid w:val="00D0235E"/>
    <w:rsid w:val="00D02767"/>
    <w:rsid w:val="00D03D6C"/>
    <w:rsid w:val="00D61379"/>
    <w:rsid w:val="00DA63F1"/>
    <w:rsid w:val="00DA64DC"/>
    <w:rsid w:val="00DB255B"/>
    <w:rsid w:val="00DB3AC8"/>
    <w:rsid w:val="00DC1110"/>
    <w:rsid w:val="00E600F1"/>
    <w:rsid w:val="00E8165D"/>
    <w:rsid w:val="00E83B61"/>
    <w:rsid w:val="00E862D1"/>
    <w:rsid w:val="00E87504"/>
    <w:rsid w:val="00E92ACB"/>
    <w:rsid w:val="00EA3341"/>
    <w:rsid w:val="00EB4280"/>
    <w:rsid w:val="00EB7898"/>
    <w:rsid w:val="00EC2EFA"/>
    <w:rsid w:val="00F16F99"/>
    <w:rsid w:val="00F432FB"/>
    <w:rsid w:val="00F51D68"/>
    <w:rsid w:val="00F61034"/>
    <w:rsid w:val="00F7105F"/>
    <w:rsid w:val="00FD6ADD"/>
    <w:rsid w:val="00FF62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E06BFAA"/>
  <w15:chartTrackingRefBased/>
  <w15:docId w15:val="{4A9D3934-5D61-4463-A1CC-9C6F50DD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69"/>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C26F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F51D68"/>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F51D68"/>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Normal">
    <w:name w:val="ICA_Normal"/>
    <w:link w:val="ICANormalChar"/>
    <w:rsid w:val="000C1B69"/>
    <w:rPr>
      <w:rFonts w:eastAsia="Times New Roman"/>
      <w:sz w:val="20"/>
      <w:szCs w:val="24"/>
      <w:lang w:eastAsia="en-GB"/>
    </w:rPr>
  </w:style>
  <w:style w:type="character" w:customStyle="1" w:styleId="ICANormalChar">
    <w:name w:val="ICA_Normal Char"/>
    <w:basedOn w:val="DefaultParagraphFont"/>
    <w:link w:val="ICANormal"/>
    <w:rsid w:val="000C1B69"/>
    <w:rPr>
      <w:rFonts w:eastAsia="Times New Roman"/>
      <w:sz w:val="20"/>
      <w:szCs w:val="24"/>
      <w:lang w:eastAsia="en-GB"/>
    </w:rPr>
  </w:style>
  <w:style w:type="paragraph" w:styleId="Footer">
    <w:name w:val="footer"/>
    <w:basedOn w:val="Normal"/>
    <w:link w:val="FooterChar"/>
    <w:rsid w:val="000C1B69"/>
    <w:pPr>
      <w:pBdr>
        <w:top w:val="single" w:sz="4" w:space="6" w:color="44546A" w:themeColor="text2"/>
      </w:pBdr>
      <w:tabs>
        <w:tab w:val="right" w:pos="9639"/>
      </w:tabs>
      <w:spacing w:line="240" w:lineRule="auto"/>
      <w:ind w:right="-1"/>
    </w:pPr>
    <w:rPr>
      <w:rFonts w:cs="Arial"/>
      <w:sz w:val="16"/>
      <w:szCs w:val="16"/>
      <w:lang w:eastAsia="en-US"/>
    </w:rPr>
  </w:style>
  <w:style w:type="character" w:customStyle="1" w:styleId="FooterChar">
    <w:name w:val="Footer Char"/>
    <w:basedOn w:val="DefaultParagraphFont"/>
    <w:link w:val="Footer"/>
    <w:rsid w:val="000C1B69"/>
    <w:rPr>
      <w:rFonts w:eastAsia="Times New Roman"/>
      <w:sz w:val="16"/>
      <w:szCs w:val="16"/>
      <w:lang w:eastAsia="en-US"/>
    </w:rPr>
  </w:style>
  <w:style w:type="paragraph" w:styleId="Header">
    <w:name w:val="header"/>
    <w:basedOn w:val="Normal"/>
    <w:link w:val="HeaderChar"/>
    <w:uiPriority w:val="99"/>
    <w:unhideWhenUsed/>
    <w:rsid w:val="000C1B69"/>
    <w:pPr>
      <w:tabs>
        <w:tab w:val="center" w:pos="4513"/>
        <w:tab w:val="right" w:pos="9026"/>
      </w:tabs>
      <w:spacing w:line="240" w:lineRule="auto"/>
    </w:pPr>
  </w:style>
  <w:style w:type="character" w:customStyle="1" w:styleId="HeaderChar">
    <w:name w:val="Header Char"/>
    <w:basedOn w:val="DefaultParagraphFont"/>
    <w:link w:val="Header"/>
    <w:uiPriority w:val="99"/>
    <w:rsid w:val="000C1B69"/>
    <w:rPr>
      <w:rFonts w:eastAsia="Times New Roman" w:cs="Times New Roman"/>
      <w:lang w:eastAsia="en-GB"/>
    </w:rPr>
  </w:style>
  <w:style w:type="paragraph" w:customStyle="1" w:styleId="Bodycopy">
    <w:name w:val="Body copy"/>
    <w:basedOn w:val="Normal"/>
    <w:rsid w:val="00964037"/>
    <w:pPr>
      <w:suppressAutoHyphens/>
      <w:spacing w:line="240" w:lineRule="auto"/>
    </w:pPr>
  </w:style>
  <w:style w:type="character" w:customStyle="1" w:styleId="Heading2Char">
    <w:name w:val="Heading 2 Char"/>
    <w:basedOn w:val="DefaultParagraphFont"/>
    <w:link w:val="Heading2"/>
    <w:uiPriority w:val="3"/>
    <w:rsid w:val="00F51D68"/>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F51D68"/>
    <w:rPr>
      <w:rFonts w:eastAsia="Times New Roman" w:cs="Times New Roman"/>
      <w:b/>
      <w:lang w:eastAsia="en-GB"/>
    </w:rPr>
  </w:style>
  <w:style w:type="character" w:styleId="CommentReference">
    <w:name w:val="annotation reference"/>
    <w:basedOn w:val="DefaultParagraphFont"/>
    <w:semiHidden/>
    <w:unhideWhenUsed/>
    <w:rsid w:val="00F51D68"/>
    <w:rPr>
      <w:sz w:val="16"/>
      <w:szCs w:val="16"/>
    </w:rPr>
  </w:style>
  <w:style w:type="paragraph" w:styleId="CommentText">
    <w:name w:val="annotation text"/>
    <w:basedOn w:val="Normal"/>
    <w:link w:val="CommentTextChar"/>
    <w:semiHidden/>
    <w:unhideWhenUsed/>
    <w:rsid w:val="00F51D68"/>
    <w:pPr>
      <w:spacing w:line="240" w:lineRule="auto"/>
    </w:pPr>
    <w:rPr>
      <w:sz w:val="20"/>
      <w:szCs w:val="20"/>
    </w:rPr>
  </w:style>
  <w:style w:type="character" w:customStyle="1" w:styleId="CommentTextChar">
    <w:name w:val="Comment Text Char"/>
    <w:basedOn w:val="DefaultParagraphFont"/>
    <w:link w:val="CommentText"/>
    <w:semiHidden/>
    <w:rsid w:val="00F51D68"/>
    <w:rPr>
      <w:rFonts w:eastAsia="Times New Roman" w:cs="Times New Roman"/>
      <w:sz w:val="20"/>
      <w:szCs w:val="20"/>
      <w:lang w:eastAsia="en-GB"/>
    </w:rPr>
  </w:style>
  <w:style w:type="paragraph" w:styleId="BalloonText">
    <w:name w:val="Balloon Text"/>
    <w:basedOn w:val="Normal"/>
    <w:link w:val="BalloonTextChar"/>
    <w:uiPriority w:val="99"/>
    <w:semiHidden/>
    <w:unhideWhenUsed/>
    <w:rsid w:val="00F51D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68"/>
    <w:rPr>
      <w:rFonts w:ascii="Segoe UI" w:eastAsia="Times New Roman" w:hAnsi="Segoe UI" w:cs="Segoe UI"/>
      <w:sz w:val="18"/>
      <w:szCs w:val="18"/>
      <w:lang w:eastAsia="en-GB"/>
    </w:rPr>
  </w:style>
  <w:style w:type="paragraph" w:styleId="ListParagraph">
    <w:name w:val="List Paragraph"/>
    <w:basedOn w:val="Normal"/>
    <w:uiPriority w:val="34"/>
    <w:qFormat/>
    <w:rsid w:val="00F51D68"/>
    <w:pPr>
      <w:ind w:left="720"/>
      <w:contextualSpacing/>
    </w:pPr>
  </w:style>
  <w:style w:type="character" w:styleId="Hyperlink">
    <w:name w:val="Hyperlink"/>
    <w:basedOn w:val="DefaultParagraphFont"/>
    <w:qFormat/>
    <w:rsid w:val="00F51D68"/>
    <w:rPr>
      <w:rFonts w:ascii="Arial" w:hAnsi="Arial"/>
      <w:color w:val="E30613"/>
      <w:sz w:val="22"/>
      <w:u w:val="none" w:color="CC0000"/>
    </w:rPr>
  </w:style>
  <w:style w:type="paragraph" w:styleId="CommentSubject">
    <w:name w:val="annotation subject"/>
    <w:basedOn w:val="CommentText"/>
    <w:next w:val="CommentText"/>
    <w:link w:val="CommentSubjectChar"/>
    <w:uiPriority w:val="99"/>
    <w:semiHidden/>
    <w:unhideWhenUsed/>
    <w:rsid w:val="001262DD"/>
    <w:rPr>
      <w:b/>
      <w:bCs/>
    </w:rPr>
  </w:style>
  <w:style w:type="character" w:customStyle="1" w:styleId="CommentSubjectChar">
    <w:name w:val="Comment Subject Char"/>
    <w:basedOn w:val="CommentTextChar"/>
    <w:link w:val="CommentSubject"/>
    <w:uiPriority w:val="99"/>
    <w:semiHidden/>
    <w:rsid w:val="001262DD"/>
    <w:rPr>
      <w:rFonts w:eastAsia="Times New Roman" w:cs="Times New Roman"/>
      <w:b/>
      <w:bCs/>
      <w:sz w:val="20"/>
      <w:szCs w:val="20"/>
      <w:lang w:eastAsia="en-GB"/>
    </w:rPr>
  </w:style>
  <w:style w:type="table" w:customStyle="1" w:styleId="ICAEWtable">
    <w:name w:val="ICAEW table"/>
    <w:basedOn w:val="TableNormal"/>
    <w:rsid w:val="004648C3"/>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character" w:styleId="PlaceholderText">
    <w:name w:val="Placeholder Text"/>
    <w:basedOn w:val="DefaultParagraphFont"/>
    <w:uiPriority w:val="99"/>
    <w:semiHidden/>
    <w:rsid w:val="004648C3"/>
    <w:rPr>
      <w:color w:val="808080"/>
    </w:rPr>
  </w:style>
  <w:style w:type="paragraph" w:styleId="Revision">
    <w:name w:val="Revision"/>
    <w:hidden/>
    <w:uiPriority w:val="99"/>
    <w:semiHidden/>
    <w:rsid w:val="008B516A"/>
    <w:rPr>
      <w:rFonts w:eastAsia="Times New Roman" w:cs="Times New Roman"/>
      <w:lang w:eastAsia="en-GB"/>
    </w:rPr>
  </w:style>
  <w:style w:type="table" w:styleId="TableGrid">
    <w:name w:val="Table Grid"/>
    <w:basedOn w:val="TableNormal"/>
    <w:uiPriority w:val="39"/>
    <w:rsid w:val="00373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4794"/>
    <w:rPr>
      <w:color w:val="954F72" w:themeColor="followedHyperlink"/>
      <w:u w:val="single"/>
    </w:rPr>
  </w:style>
  <w:style w:type="character" w:styleId="UnresolvedMention">
    <w:name w:val="Unresolved Mention"/>
    <w:basedOn w:val="DefaultParagraphFont"/>
    <w:uiPriority w:val="99"/>
    <w:semiHidden/>
    <w:unhideWhenUsed/>
    <w:rsid w:val="00645709"/>
    <w:rPr>
      <w:color w:val="605E5C"/>
      <w:shd w:val="clear" w:color="auto" w:fill="E1DFDD"/>
    </w:rPr>
  </w:style>
  <w:style w:type="character" w:customStyle="1" w:styleId="Heading1Char">
    <w:name w:val="Heading 1 Char"/>
    <w:basedOn w:val="DefaultParagraphFont"/>
    <w:link w:val="Heading1"/>
    <w:uiPriority w:val="9"/>
    <w:rsid w:val="00C26FC3"/>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5418">
      <w:bodyDiv w:val="1"/>
      <w:marLeft w:val="0"/>
      <w:marRight w:val="0"/>
      <w:marTop w:val="0"/>
      <w:marBottom w:val="0"/>
      <w:divBdr>
        <w:top w:val="none" w:sz="0" w:space="0" w:color="auto"/>
        <w:left w:val="none" w:sz="0" w:space="0" w:color="auto"/>
        <w:bottom w:val="none" w:sz="0" w:space="0" w:color="auto"/>
        <w:right w:val="none" w:sz="0" w:space="0" w:color="auto"/>
      </w:divBdr>
    </w:div>
    <w:div w:id="341470269">
      <w:bodyDiv w:val="1"/>
      <w:marLeft w:val="0"/>
      <w:marRight w:val="0"/>
      <w:marTop w:val="0"/>
      <w:marBottom w:val="0"/>
      <w:divBdr>
        <w:top w:val="none" w:sz="0" w:space="0" w:color="auto"/>
        <w:left w:val="none" w:sz="0" w:space="0" w:color="auto"/>
        <w:bottom w:val="none" w:sz="0" w:space="0" w:color="auto"/>
        <w:right w:val="none" w:sz="0" w:space="0" w:color="auto"/>
      </w:divBdr>
    </w:div>
    <w:div w:id="655767613">
      <w:bodyDiv w:val="1"/>
      <w:marLeft w:val="0"/>
      <w:marRight w:val="0"/>
      <w:marTop w:val="0"/>
      <w:marBottom w:val="0"/>
      <w:divBdr>
        <w:top w:val="none" w:sz="0" w:space="0" w:color="auto"/>
        <w:left w:val="none" w:sz="0" w:space="0" w:color="auto"/>
        <w:bottom w:val="none" w:sz="0" w:space="0" w:color="auto"/>
        <w:right w:val="none" w:sz="0" w:space="0" w:color="auto"/>
      </w:divBdr>
    </w:div>
    <w:div w:id="676493892">
      <w:bodyDiv w:val="1"/>
      <w:marLeft w:val="0"/>
      <w:marRight w:val="0"/>
      <w:marTop w:val="0"/>
      <w:marBottom w:val="0"/>
      <w:divBdr>
        <w:top w:val="none" w:sz="0" w:space="0" w:color="auto"/>
        <w:left w:val="none" w:sz="0" w:space="0" w:color="auto"/>
        <w:bottom w:val="none" w:sz="0" w:space="0" w:color="auto"/>
        <w:right w:val="none" w:sz="0" w:space="0" w:color="auto"/>
      </w:divBdr>
    </w:div>
    <w:div w:id="1612710985">
      <w:bodyDiv w:val="1"/>
      <w:marLeft w:val="0"/>
      <w:marRight w:val="0"/>
      <w:marTop w:val="0"/>
      <w:marBottom w:val="0"/>
      <w:divBdr>
        <w:top w:val="none" w:sz="0" w:space="0" w:color="auto"/>
        <w:left w:val="none" w:sz="0" w:space="0" w:color="auto"/>
        <w:bottom w:val="none" w:sz="0" w:space="0" w:color="auto"/>
        <w:right w:val="none" w:sz="0" w:space="0" w:color="auto"/>
      </w:divBdr>
    </w:div>
    <w:div w:id="177393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ew.com/-/media/corporate/files/regulations/practice-certificate/icaew-statement-on-members-engaging-in-public-practice-effective-1-january-2025.ashx" TargetMode="External"/><Relationship Id="rId18" Type="http://schemas.openxmlformats.org/officeDocument/2006/relationships/hyperlink" Target="https://www.icaew.com/regulation/is-your-entity-a-member-firm" TargetMode="External"/><Relationship Id="rId26" Type="http://schemas.openxmlformats.org/officeDocument/2006/relationships/hyperlink" Target="https://www.icaew.com/regulation/practice-assurance/practice-assurance-regulations" TargetMode="External"/><Relationship Id="rId39" Type="http://schemas.openxmlformats.org/officeDocument/2006/relationships/hyperlink" Target="https://www.icaew.com/regulation/insolvency" TargetMode="External"/><Relationship Id="rId21" Type="http://schemas.openxmlformats.org/officeDocument/2006/relationships/hyperlink" Target="https://www.icaew.com/regulation/is-your-entity-a-member-firm" TargetMode="External"/><Relationship Id="rId34" Type="http://schemas.openxmlformats.org/officeDocument/2006/relationships/hyperlink" Target="https://ico.org.uk/for-organisations/guide-to-data-protection/guide-to-the-general-data-protection-regulation-gdpr/data-protection-fee/" TargetMode="External"/><Relationship Id="rId42" Type="http://schemas.openxmlformats.org/officeDocument/2006/relationships/hyperlink" Target="https://www.icaew.com/technical/practice-resources/practice-finance-and-management/fees-and-charge-out-rates" TargetMode="External"/><Relationship Id="rId47" Type="http://schemas.openxmlformats.org/officeDocument/2006/relationships/hyperlink" Target="https://www.icaew.com/technical/tas-helpsheets/ethics/Marketing" TargetMode="External"/><Relationship Id="rId50" Type="http://schemas.openxmlformats.org/officeDocument/2006/relationships/hyperlink" Target="https://www.icaew.com/technical/practice-resources/setting-up-a-practice" TargetMode="External"/><Relationship Id="rId55" Type="http://schemas.openxmlformats.org/officeDocument/2006/relationships/hyperlink" Target="https://www.icaew.com/library"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icaew.com/technical/trust-and-ethics/anti-money-laundering/criminal-record-checks" TargetMode="External"/><Relationship Id="rId29" Type="http://schemas.openxmlformats.org/officeDocument/2006/relationships/hyperlink" Target="https://www.icaew.com/technical/tas-helpsheets/practice/arrangements-for-alternates-guidance-for-alternates" TargetMode="External"/><Relationship Id="rId11" Type="http://schemas.openxmlformats.org/officeDocument/2006/relationships/hyperlink" Target="https://www.icaew.com/regulation/working-in-the-regulated-area-of-audit/audit-regulations-and-guidance" TargetMode="External"/><Relationship Id="rId24" Type="http://schemas.openxmlformats.org/officeDocument/2006/relationships/hyperlink" Target="https://www.icaew.com/technical/trust-and-ethics/ethics/code-of-ethics" TargetMode="External"/><Relationship Id="rId32" Type="http://schemas.openxmlformats.org/officeDocument/2006/relationships/hyperlink" Target="https://www.icaew.com/regulation/aml-supervision/aml-resources" TargetMode="External"/><Relationship Id="rId37" Type="http://schemas.openxmlformats.org/officeDocument/2006/relationships/hyperlink" Target="https://www.icaew.com/regulation/working-in-the-regulated-area-of-audit" TargetMode="External"/><Relationship Id="rId40" Type="http://schemas.openxmlformats.org/officeDocument/2006/relationships/hyperlink" Target="https://www.icaew.com/regulation/probate-services" TargetMode="External"/><Relationship Id="rId45" Type="http://schemas.openxmlformats.org/officeDocument/2006/relationships/hyperlink" Target="https://www.icaew.com/technical/practice-resources/start-your-own-practice/five-it-considerations" TargetMode="External"/><Relationship Id="rId53" Type="http://schemas.openxmlformats.org/officeDocument/2006/relationships/hyperlink" Target="https://www.icaew.com/groups-and-networks/faculties" TargetMode="External"/><Relationship Id="rId58" Type="http://schemas.openxmlformats.org/officeDocument/2006/relationships/hyperlink" Target="http://www.icaew.com/tas"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icaew.com/regulation/aml-supervision" TargetMode="External"/><Relationship Id="rId14" Type="http://schemas.openxmlformats.org/officeDocument/2006/relationships/hyperlink" Target="https://www.icaew.com/technical/practice-resources/setting-up-a-practice/practice-structure/affiliates" TargetMode="External"/><Relationship Id="rId22" Type="http://schemas.openxmlformats.org/officeDocument/2006/relationships/hyperlink" Target="https://www.icaew.com/membership/offers-discounts-and-services/promoting-your-practice/icaew-logos" TargetMode="External"/><Relationship Id="rId27" Type="http://schemas.openxmlformats.org/officeDocument/2006/relationships/hyperlink" Target="https://www.icaew.com/regulation/clients-money" TargetMode="External"/><Relationship Id="rId30" Type="http://schemas.openxmlformats.org/officeDocument/2006/relationships/hyperlink" Target="https://www.icaew.com/regulation/aml-supervision" TargetMode="External"/><Relationship Id="rId35" Type="http://schemas.openxmlformats.org/officeDocument/2006/relationships/hyperlink" Target="https://www.icaew.com/technical/trust-and-ethics/data-protection" TargetMode="External"/><Relationship Id="rId43" Type="http://schemas.openxmlformats.org/officeDocument/2006/relationships/hyperlink" Target="https://www.icaew.com/technical/tas-helpsheets/ethics/fee-information" TargetMode="External"/><Relationship Id="rId48" Type="http://schemas.openxmlformats.org/officeDocument/2006/relationships/hyperlink" Target="https://www.icaew.com/technical/practice-resources/running-your-practice/marketing-your-practice" TargetMode="External"/><Relationship Id="rId56" Type="http://schemas.openxmlformats.org/officeDocument/2006/relationships/hyperlink" Target="https://www.icaew.com/membership/Support-throughout-your-career/support-members-scheme" TargetMode="External"/><Relationship Id="rId8" Type="http://schemas.openxmlformats.org/officeDocument/2006/relationships/hyperlink" Target="https://www.icaew.com/-/media/corporate/files/regulations/practice-certificate/icaew-statement-on-members-engaging-in-public-practice-effective-1-january-2025.ashx" TargetMode="External"/><Relationship Id="rId51" Type="http://schemas.openxmlformats.org/officeDocument/2006/relationships/hyperlink" Target="https://www.icaew.com/technical/practice-resources/running-your-practice/support-for-member-firms/practicewire" TargetMode="External"/><Relationship Id="rId3" Type="http://schemas.openxmlformats.org/officeDocument/2006/relationships/settings" Target="settings.xml"/><Relationship Id="rId12" Type="http://schemas.openxmlformats.org/officeDocument/2006/relationships/hyperlink" Target="https://www.icaew.com/technical/audit-and-assurance/regulation-and-working-in-audit/working-in-the-regulated-area-of-audit/audit-regulations-and-guidance" TargetMode="External"/><Relationship Id="rId17" Type="http://schemas.openxmlformats.org/officeDocument/2006/relationships/hyperlink" Target="https://www.icaew.com/technical/tas-helpsheets/practice/practice-names-and-letterheads" TargetMode="External"/><Relationship Id="rId25" Type="http://schemas.openxmlformats.org/officeDocument/2006/relationships/hyperlink" Target="https://www.icaew.com/regulation/professional-indemnity-insurance" TargetMode="External"/><Relationship Id="rId33" Type="http://schemas.openxmlformats.org/officeDocument/2006/relationships/hyperlink" Target="https://www.ccab.org.uk/anti-money-laundering-and-counter-terrorist-financing-guidance-for-the-accountancy-sector-2023/" TargetMode="External"/><Relationship Id="rId38" Type="http://schemas.openxmlformats.org/officeDocument/2006/relationships/hyperlink" Target="https://www.icaew.com/regulation/dpb-investment-business-licence" TargetMode="External"/><Relationship Id="rId46" Type="http://schemas.openxmlformats.org/officeDocument/2006/relationships/hyperlink" Target="https://ico.org.uk/for-organisations/advice-for-small-organisations/information-security/data-security-advice/practical-ways-to-keep-your-it-systems-safe-and-secure/" TargetMode="External"/><Relationship Id="rId59" Type="http://schemas.openxmlformats.org/officeDocument/2006/relationships/footer" Target="footer1.xml"/><Relationship Id="rId20" Type="http://schemas.openxmlformats.org/officeDocument/2006/relationships/hyperlink" Target="https://www.icaew.com/regulation/regulations-governing-the-use-of-the-description-of-chartered-accountants" TargetMode="External"/><Relationship Id="rId41" Type="http://schemas.openxmlformats.org/officeDocument/2006/relationships/hyperlink" Target="https://www.icaew.com/regulation/working-in-the-regulated-area-of-audit/become-a-licensed-practice" TargetMode="External"/><Relationship Id="rId54" Type="http://schemas.openxmlformats.org/officeDocument/2006/relationships/hyperlink" Target="https://www.icaew.com/groups-and-networks/communiti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caew.com/technical/trust-and-ethics/anti-money-laundering/criminal-record-checks/definition-of-a-beneficial-owner-officer-or-manager-boom" TargetMode="External"/><Relationship Id="rId23" Type="http://schemas.openxmlformats.org/officeDocument/2006/relationships/hyperlink" Target="https://www.icaew.com/regulation/regulations-governing-the-use-of-the-description-of-chartered-accountants" TargetMode="External"/><Relationship Id="rId28" Type="http://schemas.openxmlformats.org/officeDocument/2006/relationships/hyperlink" Target="https://www.icaew.com/technical/tas-helpsheets/practice/arrangements-for-alternates-guidance-for-sole-principals" TargetMode="External"/><Relationship Id="rId36" Type="http://schemas.openxmlformats.org/officeDocument/2006/relationships/hyperlink" Target="https://ico.org.uk/for-organisations/uk-gdpr-guidance-and-resources/data-protection-principles/a-guide-to-the-data-protection-principles/" TargetMode="External"/><Relationship Id="rId49" Type="http://schemas.openxmlformats.org/officeDocument/2006/relationships/hyperlink" Target="https://www.icaew.com/technical/tas-helpsheets/practice/buying-and-selling-fees" TargetMode="External"/><Relationship Id="rId57" Type="http://schemas.openxmlformats.org/officeDocument/2006/relationships/hyperlink" Target="https://www.caba.org.uk/" TargetMode="External"/><Relationship Id="rId10" Type="http://schemas.openxmlformats.org/officeDocument/2006/relationships/hyperlink" Target="https://www.icaew.com/technical/trust-and-ethics/ethics/code-of-ethics" TargetMode="External"/><Relationship Id="rId31" Type="http://schemas.openxmlformats.org/officeDocument/2006/relationships/hyperlink" Target="https://www.icaew.com/technical/trust-and-ethics/anti-money-laundering/criminal-record-checks" TargetMode="External"/><Relationship Id="rId44" Type="http://schemas.openxmlformats.org/officeDocument/2006/relationships/hyperlink" Target="https://www.icaew.com/technical/tas-helpsheets/practice/subcontracting-accountancy-services" TargetMode="External"/><Relationship Id="rId52" Type="http://schemas.openxmlformats.org/officeDocument/2006/relationships/hyperlink" Target="https://events.icaew.co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ew.com/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ICAEW Technical Advisory Service</dc:creator>
  <cp:keywords/>
  <dc:description/>
  <cp:lastModifiedBy>Wendy Ansley</cp:lastModifiedBy>
  <cp:revision>3</cp:revision>
  <dcterms:created xsi:type="dcterms:W3CDTF">2025-10-29T14:04:00Z</dcterms:created>
  <dcterms:modified xsi:type="dcterms:W3CDTF">2025-10-29T14:28:00Z</dcterms:modified>
</cp:coreProperties>
</file>