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9D22" w14:textId="77777777" w:rsidR="009F7766" w:rsidRDefault="009F7766" w:rsidP="004D30D6">
      <w:pPr>
        <w:sectPr w:rsidR="009F7766" w:rsidSect="002F54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134" w:right="1134" w:bottom="1134" w:left="1134" w:header="284" w:footer="510" w:gutter="0"/>
          <w:cols w:space="720"/>
        </w:sectPr>
      </w:pPr>
    </w:p>
    <w:p w14:paraId="796477A1" w14:textId="77777777" w:rsidR="005711DA" w:rsidRDefault="005711DA" w:rsidP="00C63D9D">
      <w:pPr>
        <w:ind w:right="710"/>
        <w:rPr>
          <w:rFonts w:eastAsia="Arial"/>
          <w:b/>
          <w:sz w:val="36"/>
        </w:rPr>
      </w:pPr>
      <w:r w:rsidRPr="005711DA">
        <w:rPr>
          <w:rFonts w:eastAsia="Arial"/>
          <w:b/>
          <w:sz w:val="36"/>
        </w:rPr>
        <w:t>ICAEW Transparency Guidance for Accredited Legal Services Firms: Template B - example website template for probate services</w:t>
      </w:r>
    </w:p>
    <w:p w14:paraId="7F834F1E" w14:textId="459B2588" w:rsidR="00CF311D" w:rsidRDefault="00E32316" w:rsidP="00D147D7">
      <w:pPr>
        <w:pBdr>
          <w:bottom w:val="single" w:sz="4" w:space="1" w:color="auto"/>
        </w:pBdr>
        <w:rPr>
          <w:rFonts w:eastAsia="Arial" w:cs="Arial"/>
          <w:color w:val="000000" w:themeColor="text1"/>
        </w:rPr>
      </w:pPr>
      <w:r w:rsidRPr="00E32316">
        <w:rPr>
          <w:rFonts w:eastAsia="Arial" w:cs="Arial"/>
          <w:color w:val="000000" w:themeColor="text1"/>
        </w:rPr>
        <w:t xml:space="preserve">This example provides website headings and descriptions, showing how to present the information required under paragraph 2.7 (u) of the </w:t>
      </w:r>
      <w:hyperlink r:id="rId17" w:history="1">
        <w:r w:rsidRPr="000D3EE5">
          <w:rPr>
            <w:rStyle w:val="Hyperlink"/>
            <w:rFonts w:eastAsia="Arial"/>
          </w:rPr>
          <w:t>Legal Services Regulations</w:t>
        </w:r>
      </w:hyperlink>
      <w:r w:rsidRPr="00E32316">
        <w:rPr>
          <w:rFonts w:eastAsia="Arial" w:cs="Arial"/>
          <w:color w:val="000000" w:themeColor="text1"/>
        </w:rPr>
        <w:t>. It can be adjusted according to your firm’s size, fee structure, services and requirements.</w:t>
      </w:r>
    </w:p>
    <w:p w14:paraId="3EE076A5" w14:textId="77777777" w:rsidR="00E32316" w:rsidRDefault="00E32316" w:rsidP="00D147D7">
      <w:pPr>
        <w:pBdr>
          <w:bottom w:val="single" w:sz="4" w:space="1" w:color="auto"/>
        </w:pBdr>
        <w:rPr>
          <w:rFonts w:eastAsia="Arial" w:cs="Arial"/>
          <w:color w:val="000000" w:themeColor="text1"/>
        </w:rPr>
      </w:pPr>
    </w:p>
    <w:p w14:paraId="733C250F" w14:textId="77777777" w:rsidR="00D147D7" w:rsidRPr="00274C04" w:rsidRDefault="00D147D7" w:rsidP="00D147D7">
      <w:pPr>
        <w:pBdr>
          <w:bottom w:val="single" w:sz="4" w:space="1" w:color="auto"/>
        </w:pBdr>
      </w:pPr>
      <w:r w:rsidRPr="00051514">
        <w:rPr>
          <w:rFonts w:eastAsia="Arial" w:cs="Arial"/>
        </w:rPr>
        <w:t>This information should be displayed prominently on your website</w:t>
      </w:r>
      <w:r>
        <w:rPr>
          <w:rFonts w:eastAsia="Arial" w:cs="Arial"/>
        </w:rPr>
        <w:t>. I</w:t>
      </w:r>
      <w:r w:rsidRPr="00051514">
        <w:rPr>
          <w:rFonts w:eastAsia="Arial" w:cs="Arial"/>
        </w:rPr>
        <w:t>f your firm does not have a website, you must provide this information in your marketing materials</w:t>
      </w:r>
      <w:r>
        <w:rPr>
          <w:rFonts w:eastAsia="Arial" w:cs="Arial"/>
        </w:rPr>
        <w:t>.</w:t>
      </w:r>
    </w:p>
    <w:p w14:paraId="0760DAE1" w14:textId="77777777" w:rsidR="00AC0C08" w:rsidRPr="00AC0C08" w:rsidRDefault="00AC0C08" w:rsidP="00AC0C08">
      <w:pPr>
        <w:pStyle w:val="Heading2"/>
      </w:pPr>
      <w:r w:rsidRPr="00AC0C08">
        <w:t xml:space="preserve">Example website template for probate services </w:t>
      </w:r>
    </w:p>
    <w:p w14:paraId="36C7537B" w14:textId="678B406F" w:rsidR="00AC0C08" w:rsidRPr="003F3037" w:rsidRDefault="00AC0C08" w:rsidP="001A3FB0">
      <w:pPr>
        <w:pStyle w:val="Heading3"/>
        <w:rPr>
          <w:color w:val="A9C47F" w:themeColor="accent1"/>
        </w:rPr>
      </w:pPr>
      <w:r w:rsidRPr="00051514">
        <w:t xml:space="preserve">About </w:t>
      </w:r>
      <w:r>
        <w:t>our firm</w:t>
      </w:r>
    </w:p>
    <w:p w14:paraId="17DA74D8" w14:textId="77777777" w:rsidR="00AC0C08" w:rsidRPr="003F3037" w:rsidRDefault="00AC0C08" w:rsidP="00AC0C08">
      <w:pPr>
        <w:rPr>
          <w:b/>
          <w:bCs/>
        </w:rPr>
      </w:pPr>
    </w:p>
    <w:p w14:paraId="32C1502C" w14:textId="77777777" w:rsidR="00AC0C08" w:rsidRPr="003F3037" w:rsidRDefault="00AC0C08" w:rsidP="00AC0C08">
      <w:pPr>
        <w:rPr>
          <w:rFonts w:eastAsia="Arial" w:cs="Arial"/>
        </w:rPr>
      </w:pPr>
      <w:r w:rsidRPr="00051514">
        <w:rPr>
          <w:rFonts w:eastAsia="Arial" w:cs="Arial"/>
        </w:rPr>
        <w:t xml:space="preserve">At [Firm Name], in addition to [accountancy services] we specialise in non-contentious probate and estate administration. We are authorised and regulated by the </w:t>
      </w:r>
      <w:commentRangeStart w:id="0"/>
      <w:r w:rsidRPr="00051514">
        <w:rPr>
          <w:rFonts w:eastAsia="Arial" w:cs="Arial"/>
        </w:rPr>
        <w:t>Institute of Chartered Accountants in England and Wales (ICAEW)</w:t>
      </w:r>
      <w:commentRangeEnd w:id="0"/>
      <w:r>
        <w:rPr>
          <w:rStyle w:val="CommentReference"/>
        </w:rPr>
        <w:commentReference w:id="0"/>
      </w:r>
      <w:r w:rsidRPr="00051514">
        <w:rPr>
          <w:rFonts w:eastAsia="Arial" w:cs="Arial"/>
        </w:rPr>
        <w:t>, one of the approved legal services regulators in England and Wales.</w:t>
      </w:r>
    </w:p>
    <w:p w14:paraId="3D2D6953" w14:textId="77777777" w:rsidR="00AC0C08" w:rsidRPr="003F3037" w:rsidRDefault="00AC0C08" w:rsidP="00AC0C08">
      <w:pPr>
        <w:rPr>
          <w:rFonts w:eastAsia="Arial" w:cs="Arial"/>
        </w:rPr>
      </w:pPr>
    </w:p>
    <w:p w14:paraId="122E579E" w14:textId="77777777" w:rsidR="00AC0C08" w:rsidRPr="003F3037" w:rsidRDefault="00AC0C08" w:rsidP="00AC0C08">
      <w:pPr>
        <w:pStyle w:val="Heading3"/>
        <w:rPr>
          <w:rFonts w:eastAsia="Arial"/>
          <w:color w:val="A9C47F" w:themeColor="accent1"/>
        </w:rPr>
      </w:pPr>
      <w:r w:rsidRPr="00051514">
        <w:rPr>
          <w:rFonts w:eastAsia="Arial"/>
        </w:rPr>
        <w:t>Our services</w:t>
      </w:r>
    </w:p>
    <w:p w14:paraId="16E4004C" w14:textId="77777777" w:rsidR="00AC0C08" w:rsidRPr="00051514" w:rsidRDefault="00AC0C08" w:rsidP="00AC0C08">
      <w:pPr>
        <w:spacing w:before="240" w:after="240"/>
      </w:pPr>
      <w:r w:rsidRPr="00051514">
        <w:rPr>
          <w:rFonts w:eastAsia="Arial" w:cs="Arial"/>
        </w:rPr>
        <w:t>Our probate services include</w:t>
      </w:r>
      <w:r>
        <w:rPr>
          <w:rFonts w:eastAsia="Arial" w:cs="Arial"/>
        </w:rPr>
        <w:t>:</w:t>
      </w:r>
    </w:p>
    <w:p w14:paraId="43EC2A6B" w14:textId="77777777" w:rsidR="00AC0C08" w:rsidRPr="003F3037" w:rsidRDefault="00AC0C08" w:rsidP="00AC0C08">
      <w:pPr>
        <w:pStyle w:val="ListParagraph"/>
        <w:numPr>
          <w:ilvl w:val="0"/>
          <w:numId w:val="49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a</w:t>
      </w:r>
      <w:r w:rsidRPr="00051514">
        <w:rPr>
          <w:rFonts w:eastAsia="Arial" w:cs="Arial"/>
        </w:rPr>
        <w:t>pplying for a Grant of Probate or Letters of Administration</w:t>
      </w:r>
      <w:r>
        <w:rPr>
          <w:rFonts w:eastAsia="Arial" w:cs="Arial"/>
        </w:rPr>
        <w:t>;</w:t>
      </w:r>
    </w:p>
    <w:p w14:paraId="5624174C" w14:textId="77777777" w:rsidR="00AC0C08" w:rsidRPr="003F3037" w:rsidRDefault="00AC0C08" w:rsidP="00AC0C08">
      <w:pPr>
        <w:pStyle w:val="ListParagraph"/>
        <w:numPr>
          <w:ilvl w:val="0"/>
          <w:numId w:val="49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i</w:t>
      </w:r>
      <w:r w:rsidRPr="00051514">
        <w:rPr>
          <w:rFonts w:eastAsia="Arial" w:cs="Arial"/>
        </w:rPr>
        <w:t>dentifying and valuing estate assets and liabilities</w:t>
      </w:r>
      <w:r>
        <w:rPr>
          <w:rFonts w:eastAsia="Arial" w:cs="Arial"/>
        </w:rPr>
        <w:t>;</w:t>
      </w:r>
    </w:p>
    <w:p w14:paraId="419EA2F0" w14:textId="77777777" w:rsidR="00AC0C08" w:rsidRPr="003F3037" w:rsidRDefault="00AC0C08" w:rsidP="00AC0C08">
      <w:pPr>
        <w:pStyle w:val="ListParagraph"/>
        <w:numPr>
          <w:ilvl w:val="0"/>
          <w:numId w:val="49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s</w:t>
      </w:r>
      <w:r w:rsidRPr="00051514">
        <w:rPr>
          <w:rFonts w:eastAsia="Arial" w:cs="Arial"/>
        </w:rPr>
        <w:t>ettling debts and paying any Inheritance Tax due</w:t>
      </w:r>
      <w:r>
        <w:rPr>
          <w:rFonts w:eastAsia="Arial" w:cs="Arial"/>
        </w:rPr>
        <w:t>;</w:t>
      </w:r>
    </w:p>
    <w:p w14:paraId="7DDDB357" w14:textId="77777777" w:rsidR="00AC0C08" w:rsidRPr="003F3037" w:rsidRDefault="00AC0C08" w:rsidP="00AC0C08">
      <w:pPr>
        <w:pStyle w:val="ListParagraph"/>
        <w:numPr>
          <w:ilvl w:val="0"/>
          <w:numId w:val="49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d</w:t>
      </w:r>
      <w:r w:rsidRPr="00051514">
        <w:rPr>
          <w:rFonts w:eastAsia="Arial" w:cs="Arial"/>
        </w:rPr>
        <w:t>istributing assets to beneficiaries</w:t>
      </w:r>
      <w:r>
        <w:rPr>
          <w:rFonts w:eastAsia="Arial" w:cs="Arial"/>
        </w:rPr>
        <w:t>; and</w:t>
      </w:r>
    </w:p>
    <w:p w14:paraId="3D360EDC" w14:textId="77777777" w:rsidR="00AC0C08" w:rsidRPr="003F3037" w:rsidRDefault="00AC0C08" w:rsidP="00AC0C08">
      <w:pPr>
        <w:pStyle w:val="ListParagraph"/>
        <w:numPr>
          <w:ilvl w:val="0"/>
          <w:numId w:val="49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p</w:t>
      </w:r>
      <w:r w:rsidRPr="00051514">
        <w:rPr>
          <w:rFonts w:eastAsia="Arial" w:cs="Arial"/>
        </w:rPr>
        <w:t>reparing estate accounts</w:t>
      </w:r>
      <w:r>
        <w:rPr>
          <w:rFonts w:eastAsia="Arial" w:cs="Arial"/>
        </w:rPr>
        <w:t>.</w:t>
      </w:r>
    </w:p>
    <w:p w14:paraId="5DE4EA4F" w14:textId="77777777" w:rsidR="00AC0C08" w:rsidRDefault="00AC0C08" w:rsidP="00AC0C08">
      <w:pPr>
        <w:spacing w:before="240" w:after="240"/>
        <w:rPr>
          <w:rFonts w:eastAsia="Arial" w:cs="Arial"/>
        </w:rPr>
      </w:pPr>
      <w:r w:rsidRPr="00051514">
        <w:rPr>
          <w:rFonts w:eastAsia="Arial" w:cs="Arial"/>
        </w:rPr>
        <w:t xml:space="preserve">We offer these services to executors and administrators of estates across England and Wales. We also offer executorship and </w:t>
      </w:r>
      <w:commentRangeStart w:id="1"/>
      <w:r w:rsidRPr="00051514">
        <w:rPr>
          <w:rFonts w:eastAsia="Arial" w:cs="Arial"/>
        </w:rPr>
        <w:t>will</w:t>
      </w:r>
      <w:r>
        <w:rPr>
          <w:rFonts w:eastAsia="Arial" w:cs="Arial"/>
        </w:rPr>
        <w:t>-</w:t>
      </w:r>
      <w:r w:rsidRPr="00051514">
        <w:rPr>
          <w:rFonts w:eastAsia="Arial" w:cs="Arial"/>
        </w:rPr>
        <w:t xml:space="preserve">writing </w:t>
      </w:r>
      <w:commentRangeEnd w:id="1"/>
      <w:r>
        <w:rPr>
          <w:rStyle w:val="CommentReference"/>
        </w:rPr>
        <w:commentReference w:id="1"/>
      </w:r>
      <w:r w:rsidRPr="00051514">
        <w:rPr>
          <w:rFonts w:eastAsia="Arial" w:cs="Arial"/>
        </w:rPr>
        <w:t>services.</w:t>
      </w:r>
    </w:p>
    <w:p w14:paraId="31FDB11E" w14:textId="77777777" w:rsidR="00AC0C08" w:rsidRPr="003F3037" w:rsidRDefault="00AC0C08" w:rsidP="00AC0C08">
      <w:pPr>
        <w:pStyle w:val="Heading3"/>
        <w:rPr>
          <w:color w:val="A9C47F" w:themeColor="accent1"/>
        </w:rPr>
      </w:pPr>
      <w:r w:rsidRPr="00051514">
        <w:t xml:space="preserve">Key </w:t>
      </w:r>
      <w:r>
        <w:t>s</w:t>
      </w:r>
      <w:r w:rsidRPr="00051514">
        <w:t>tages</w:t>
      </w:r>
      <w:r>
        <w:t xml:space="preserve"> in probate</w:t>
      </w:r>
    </w:p>
    <w:p w14:paraId="6C808C42" w14:textId="77777777" w:rsidR="00AC0C08" w:rsidRPr="00051514" w:rsidRDefault="00AC0C08" w:rsidP="00AC0C08">
      <w:pPr>
        <w:spacing w:before="240" w:after="240"/>
      </w:pPr>
      <w:r w:rsidRPr="00051514">
        <w:rPr>
          <w:rFonts w:eastAsia="Arial" w:cs="Arial"/>
        </w:rPr>
        <w:t>While each estate is different, the typical stages of a probate matter include</w:t>
      </w:r>
      <w:r>
        <w:rPr>
          <w:rFonts w:eastAsia="Arial" w:cs="Arial"/>
        </w:rPr>
        <w:t xml:space="preserve"> the following.</w:t>
      </w:r>
    </w:p>
    <w:p w14:paraId="1A91C14E" w14:textId="77777777" w:rsidR="00AC0C08" w:rsidRPr="003F3037" w:rsidRDefault="00AC0C08" w:rsidP="00AC0C08">
      <w:pPr>
        <w:pStyle w:val="ListParagraph"/>
        <w:numPr>
          <w:ilvl w:val="0"/>
          <w:numId w:val="48"/>
        </w:numPr>
        <w:spacing w:before="240" w:after="240" w:line="240" w:lineRule="auto"/>
        <w:rPr>
          <w:rFonts w:eastAsia="Arial" w:cs="Arial"/>
        </w:rPr>
      </w:pPr>
      <w:r w:rsidRPr="00051514">
        <w:rPr>
          <w:rFonts w:eastAsia="Arial" w:cs="Arial"/>
          <w:b/>
          <w:bCs/>
        </w:rPr>
        <w:t>Initial consultation</w:t>
      </w:r>
      <w:r w:rsidRPr="00051514">
        <w:rPr>
          <w:rFonts w:eastAsia="Arial" w:cs="Arial"/>
        </w:rPr>
        <w:t xml:space="preserve"> – to gather details and confirm instructions.</w:t>
      </w:r>
    </w:p>
    <w:p w14:paraId="64B19497" w14:textId="77777777" w:rsidR="00AC0C08" w:rsidRPr="003F3037" w:rsidRDefault="00AC0C08" w:rsidP="00AC0C08">
      <w:pPr>
        <w:pStyle w:val="ListParagraph"/>
        <w:numPr>
          <w:ilvl w:val="0"/>
          <w:numId w:val="48"/>
        </w:numPr>
        <w:spacing w:before="240" w:after="240" w:line="240" w:lineRule="auto"/>
        <w:rPr>
          <w:rFonts w:eastAsia="Arial" w:cs="Arial"/>
        </w:rPr>
      </w:pPr>
      <w:r w:rsidRPr="00051514">
        <w:rPr>
          <w:rFonts w:eastAsia="Arial" w:cs="Arial"/>
          <w:b/>
          <w:bCs/>
        </w:rPr>
        <w:t>Information gathering</w:t>
      </w:r>
      <w:r w:rsidRPr="00051514">
        <w:rPr>
          <w:rFonts w:eastAsia="Arial" w:cs="Arial"/>
        </w:rPr>
        <w:t xml:space="preserve"> – identifying estate assets, debts, and beneficiaries.</w:t>
      </w:r>
    </w:p>
    <w:p w14:paraId="0B9E5B19" w14:textId="77777777" w:rsidR="00AC0C08" w:rsidRPr="003F3037" w:rsidRDefault="00AC0C08" w:rsidP="00AC0C08">
      <w:pPr>
        <w:pStyle w:val="ListParagraph"/>
        <w:numPr>
          <w:ilvl w:val="0"/>
          <w:numId w:val="48"/>
        </w:numPr>
        <w:spacing w:before="240" w:after="240" w:line="240" w:lineRule="auto"/>
        <w:rPr>
          <w:rFonts w:eastAsia="Arial" w:cs="Arial"/>
        </w:rPr>
      </w:pPr>
      <w:r w:rsidRPr="00051514">
        <w:rPr>
          <w:rFonts w:eastAsia="Arial" w:cs="Arial"/>
          <w:b/>
          <w:bCs/>
        </w:rPr>
        <w:t>Probate application</w:t>
      </w:r>
      <w:r w:rsidRPr="00051514">
        <w:rPr>
          <w:rFonts w:eastAsia="Arial" w:cs="Arial"/>
        </w:rPr>
        <w:t xml:space="preserve"> – submitting the application to the Probate Registry.</w:t>
      </w:r>
    </w:p>
    <w:p w14:paraId="55197352" w14:textId="77777777" w:rsidR="00AC0C08" w:rsidRPr="003F3037" w:rsidRDefault="00AC0C08" w:rsidP="00AC0C08">
      <w:pPr>
        <w:pStyle w:val="ListParagraph"/>
        <w:numPr>
          <w:ilvl w:val="0"/>
          <w:numId w:val="48"/>
        </w:numPr>
        <w:spacing w:before="240" w:after="240" w:line="240" w:lineRule="auto"/>
        <w:rPr>
          <w:rFonts w:eastAsia="Arial" w:cs="Arial"/>
        </w:rPr>
      </w:pPr>
      <w:r w:rsidRPr="00051514">
        <w:rPr>
          <w:rFonts w:eastAsia="Arial" w:cs="Arial"/>
          <w:b/>
          <w:bCs/>
        </w:rPr>
        <w:t>Estate administration</w:t>
      </w:r>
      <w:r w:rsidRPr="00051514">
        <w:rPr>
          <w:rFonts w:eastAsia="Arial" w:cs="Arial"/>
        </w:rPr>
        <w:t xml:space="preserve"> – collecting </w:t>
      </w:r>
      <w:commentRangeStart w:id="2"/>
      <w:r w:rsidRPr="00051514">
        <w:rPr>
          <w:rFonts w:eastAsia="Arial" w:cs="Arial"/>
        </w:rPr>
        <w:t>in</w:t>
      </w:r>
      <w:commentRangeEnd w:id="2"/>
      <w:r>
        <w:rPr>
          <w:rStyle w:val="CommentReference"/>
        </w:rPr>
        <w:commentReference w:id="2"/>
      </w:r>
      <w:r w:rsidRPr="00051514">
        <w:rPr>
          <w:rFonts w:eastAsia="Arial" w:cs="Arial"/>
        </w:rPr>
        <w:t xml:space="preserve"> assets, settling liabilities, paying tax.</w:t>
      </w:r>
    </w:p>
    <w:p w14:paraId="4C69F531" w14:textId="77777777" w:rsidR="00AC0C08" w:rsidRPr="003F3037" w:rsidRDefault="00AC0C08" w:rsidP="00AC0C08">
      <w:pPr>
        <w:pStyle w:val="ListParagraph"/>
        <w:numPr>
          <w:ilvl w:val="0"/>
          <w:numId w:val="48"/>
        </w:numPr>
        <w:spacing w:before="240" w:after="240" w:line="240" w:lineRule="auto"/>
        <w:rPr>
          <w:rFonts w:eastAsia="Arial" w:cs="Arial"/>
        </w:rPr>
      </w:pPr>
      <w:r w:rsidRPr="00051514">
        <w:rPr>
          <w:rFonts w:eastAsia="Arial" w:cs="Arial"/>
          <w:b/>
          <w:bCs/>
        </w:rPr>
        <w:t>Finalisation</w:t>
      </w:r>
      <w:r w:rsidRPr="00051514">
        <w:rPr>
          <w:rFonts w:eastAsia="Arial" w:cs="Arial"/>
        </w:rPr>
        <w:t xml:space="preserve"> – distributing the estate and preparing final accounts.</w:t>
      </w:r>
    </w:p>
    <w:p w14:paraId="17F041EE" w14:textId="77777777" w:rsidR="00AC0C08" w:rsidRPr="00051514" w:rsidRDefault="00AC0C08" w:rsidP="00AC0C08">
      <w:pPr>
        <w:spacing w:before="240" w:after="240"/>
      </w:pPr>
      <w:r w:rsidRPr="00051514">
        <w:rPr>
          <w:rFonts w:eastAsia="Arial" w:cs="Arial"/>
        </w:rPr>
        <w:t>We will explain each stage to you in more detail and keep you updated throughout the process.</w:t>
      </w:r>
    </w:p>
    <w:p w14:paraId="771DF4DD" w14:textId="77777777" w:rsidR="00AC0C08" w:rsidRPr="003F3037" w:rsidRDefault="00AC0C08" w:rsidP="00AC0C08">
      <w:pPr>
        <w:pStyle w:val="Heading3"/>
        <w:rPr>
          <w:color w:val="A9C47F" w:themeColor="accent1"/>
        </w:rPr>
      </w:pPr>
      <w:r w:rsidRPr="00051514">
        <w:t xml:space="preserve">Timescales </w:t>
      </w:r>
      <w:r>
        <w:t>for probate</w:t>
      </w:r>
    </w:p>
    <w:p w14:paraId="5347C555" w14:textId="77777777" w:rsidR="00AC0C08" w:rsidRPr="00051514" w:rsidRDefault="00AC0C08" w:rsidP="00AC0C08">
      <w:pPr>
        <w:rPr>
          <w:b/>
          <w:bCs/>
          <w:color w:val="4471C4"/>
        </w:rPr>
      </w:pPr>
    </w:p>
    <w:p w14:paraId="036A423F" w14:textId="77777777" w:rsidR="00AC0C08" w:rsidRPr="00051514" w:rsidRDefault="00AC0C08" w:rsidP="00AC0C08">
      <w:r w:rsidRPr="00051514">
        <w:t>The probate process can vary in length, depending on the complexity of the estate. Typical timescales are set out below</w:t>
      </w:r>
      <w:r>
        <w:t>.</w:t>
      </w:r>
    </w:p>
    <w:p w14:paraId="1E7C21BD" w14:textId="77777777" w:rsidR="00AC0C08" w:rsidRPr="00051514" w:rsidRDefault="00AC0C08" w:rsidP="00AC0C08"/>
    <w:p w14:paraId="1B2701A4" w14:textId="77777777" w:rsidR="00AC0C08" w:rsidRPr="00051514" w:rsidRDefault="00AC0C08" w:rsidP="00AC0C08">
      <w:pPr>
        <w:pStyle w:val="ListParagraph"/>
        <w:numPr>
          <w:ilvl w:val="0"/>
          <w:numId w:val="45"/>
        </w:numPr>
        <w:spacing w:line="240" w:lineRule="auto"/>
        <w:rPr>
          <w:rFonts w:eastAsia="Arial" w:cs="Arial"/>
          <w:b/>
          <w:bCs/>
        </w:rPr>
      </w:pPr>
      <w:r w:rsidRPr="00051514">
        <w:lastRenderedPageBreak/>
        <w:t>Simple estates: 4 to 6 months</w:t>
      </w:r>
    </w:p>
    <w:p w14:paraId="4276A9F9" w14:textId="77777777" w:rsidR="00AC0C08" w:rsidRPr="00051514" w:rsidRDefault="00AC0C08" w:rsidP="00AC0C08">
      <w:pPr>
        <w:pStyle w:val="ListParagraph"/>
        <w:numPr>
          <w:ilvl w:val="0"/>
          <w:numId w:val="45"/>
        </w:numPr>
        <w:spacing w:line="240" w:lineRule="auto"/>
        <w:rPr>
          <w:rFonts w:eastAsia="Arial" w:cs="Arial"/>
          <w:b/>
          <w:bCs/>
        </w:rPr>
      </w:pPr>
      <w:r w:rsidRPr="00051514">
        <w:t>More complex estates: 6 to 12 months or more</w:t>
      </w:r>
    </w:p>
    <w:p w14:paraId="5D63948A" w14:textId="77777777" w:rsidR="00AC0C08" w:rsidRPr="00051514" w:rsidRDefault="00AC0C08" w:rsidP="00AC0C08"/>
    <w:p w14:paraId="50465F3A" w14:textId="77777777" w:rsidR="00AC0C08" w:rsidRPr="00051514" w:rsidRDefault="00AC0C08" w:rsidP="00AC0C08">
      <w:r w:rsidRPr="00051514">
        <w:t>Factors that may affect these timescales include:</w:t>
      </w:r>
    </w:p>
    <w:p w14:paraId="36C01FE5" w14:textId="77777777" w:rsidR="00AC0C08" w:rsidRPr="00051514" w:rsidRDefault="00AC0C08" w:rsidP="00AC0C08"/>
    <w:p w14:paraId="03945648" w14:textId="77777777" w:rsidR="00AC0C08" w:rsidRPr="00051514" w:rsidRDefault="00AC0C08" w:rsidP="00AC0C08">
      <w:pPr>
        <w:pStyle w:val="ListParagraph"/>
        <w:numPr>
          <w:ilvl w:val="0"/>
          <w:numId w:val="47"/>
        </w:numPr>
        <w:spacing w:line="240" w:lineRule="auto"/>
        <w:rPr>
          <w:rFonts w:eastAsia="Arial" w:cs="Arial"/>
        </w:rPr>
      </w:pPr>
      <w:r>
        <w:t>w</w:t>
      </w:r>
      <w:r w:rsidRPr="00051514">
        <w:t>hether Inheritance Tax is payable</w:t>
      </w:r>
      <w:r>
        <w:t>;</w:t>
      </w:r>
    </w:p>
    <w:p w14:paraId="6CBEC392" w14:textId="77777777" w:rsidR="00AC0C08" w:rsidRPr="003F3037" w:rsidRDefault="00AC0C08" w:rsidP="00AC0C08">
      <w:pPr>
        <w:pStyle w:val="ListParagraph"/>
        <w:numPr>
          <w:ilvl w:val="0"/>
          <w:numId w:val="47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d</w:t>
      </w:r>
      <w:r w:rsidRPr="00051514">
        <w:rPr>
          <w:rFonts w:eastAsia="Arial" w:cs="Arial"/>
        </w:rPr>
        <w:t>elays in receiving information from financial institutions</w:t>
      </w:r>
      <w:r>
        <w:rPr>
          <w:rFonts w:eastAsia="Arial" w:cs="Arial"/>
        </w:rPr>
        <w:t>;</w:t>
      </w:r>
    </w:p>
    <w:p w14:paraId="6D61B9D0" w14:textId="77777777" w:rsidR="00AC0C08" w:rsidRPr="003F3037" w:rsidRDefault="00AC0C08" w:rsidP="00AC0C08">
      <w:pPr>
        <w:pStyle w:val="ListParagraph"/>
        <w:numPr>
          <w:ilvl w:val="0"/>
          <w:numId w:val="47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d</w:t>
      </w:r>
      <w:r w:rsidRPr="00051514">
        <w:rPr>
          <w:rFonts w:eastAsia="Arial" w:cs="Arial"/>
        </w:rPr>
        <w:t>isputes between beneficiaries or third parties</w:t>
      </w:r>
      <w:r>
        <w:rPr>
          <w:rFonts w:eastAsia="Arial" w:cs="Arial"/>
        </w:rPr>
        <w:t>; and/or</w:t>
      </w:r>
    </w:p>
    <w:p w14:paraId="5922517A" w14:textId="77777777" w:rsidR="00AC0C08" w:rsidRPr="003F3037" w:rsidRDefault="00AC0C08" w:rsidP="00AC0C08">
      <w:pPr>
        <w:pStyle w:val="ListParagraph"/>
        <w:numPr>
          <w:ilvl w:val="0"/>
          <w:numId w:val="47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t</w:t>
      </w:r>
      <w:r w:rsidRPr="00051514">
        <w:rPr>
          <w:rFonts w:eastAsia="Arial" w:cs="Arial"/>
        </w:rPr>
        <w:t>he sale of property or overseas assets</w:t>
      </w:r>
      <w:r>
        <w:rPr>
          <w:rFonts w:eastAsia="Arial" w:cs="Arial"/>
        </w:rPr>
        <w:t>.</w:t>
      </w:r>
    </w:p>
    <w:p w14:paraId="149CAB56" w14:textId="77777777" w:rsidR="00AC0C08" w:rsidRPr="00051514" w:rsidRDefault="00AC0C08" w:rsidP="00AC0C08">
      <w:pPr>
        <w:spacing w:before="240" w:after="240"/>
      </w:pPr>
      <w:r w:rsidRPr="00051514">
        <w:rPr>
          <w:rFonts w:eastAsia="Arial" w:cs="Arial"/>
        </w:rPr>
        <w:t>We will provide a clearer timescale once we understand your specific circumstances.</w:t>
      </w:r>
    </w:p>
    <w:p w14:paraId="5965B8F0" w14:textId="77777777" w:rsidR="00AC0C08" w:rsidRPr="00051514" w:rsidRDefault="00AC0C08" w:rsidP="00AC0C08">
      <w:pPr>
        <w:pStyle w:val="Heading3"/>
        <w:rPr>
          <w:rFonts w:eastAsia="Arial"/>
          <w:color w:val="A9C47F" w:themeColor="accent1"/>
        </w:rPr>
      </w:pPr>
      <w:r w:rsidRPr="00051514">
        <w:rPr>
          <w:rFonts w:eastAsia="Arial"/>
        </w:rPr>
        <w:t>Why choose a regulated provider?</w:t>
      </w:r>
    </w:p>
    <w:p w14:paraId="2E74BFF5" w14:textId="77777777" w:rsidR="00AC0C08" w:rsidRPr="003F3037" w:rsidRDefault="00AC0C08" w:rsidP="00AC0C08">
      <w:pPr>
        <w:rPr>
          <w:b/>
          <w:bCs/>
        </w:rPr>
      </w:pPr>
    </w:p>
    <w:p w14:paraId="4FF4DBA4" w14:textId="77777777" w:rsidR="00AC0C08" w:rsidRPr="003F3037" w:rsidRDefault="00AC0C08" w:rsidP="00AC0C08">
      <w:pPr>
        <w:rPr>
          <w:rFonts w:eastAsia="Arial" w:cs="Arial"/>
        </w:rPr>
      </w:pPr>
      <w:r w:rsidRPr="00051514">
        <w:rPr>
          <w:rFonts w:eastAsia="Arial" w:cs="Arial"/>
        </w:rPr>
        <w:t xml:space="preserve">Not all firms </w:t>
      </w:r>
      <w:r>
        <w:rPr>
          <w:rFonts w:eastAsia="Arial" w:cs="Arial"/>
        </w:rPr>
        <w:t xml:space="preserve">that </w:t>
      </w:r>
      <w:r w:rsidRPr="00051514">
        <w:rPr>
          <w:rFonts w:eastAsia="Arial" w:cs="Arial"/>
        </w:rPr>
        <w:t>carry out estate administration are regulated. Our regulation means we follow strict rules designed to protect you and to ensure you receive a high-quality, professional service. This means that</w:t>
      </w:r>
      <w:r>
        <w:rPr>
          <w:rFonts w:eastAsia="Arial" w:cs="Arial"/>
        </w:rPr>
        <w:t xml:space="preserve"> we offer the following reassurances.</w:t>
      </w:r>
    </w:p>
    <w:p w14:paraId="7F9B00E9" w14:textId="77777777" w:rsidR="00AC0C08" w:rsidRPr="003F3037" w:rsidRDefault="00AC0C08" w:rsidP="00AC0C08">
      <w:pPr>
        <w:rPr>
          <w:rFonts w:eastAsia="Arial" w:cs="Arial"/>
        </w:rPr>
      </w:pPr>
    </w:p>
    <w:p w14:paraId="787EDEC8" w14:textId="77777777" w:rsidR="00AC0C08" w:rsidRPr="003F3037" w:rsidRDefault="00AC0C08" w:rsidP="00AC0C08">
      <w:pPr>
        <w:pStyle w:val="ListParagraph"/>
        <w:numPr>
          <w:ilvl w:val="0"/>
          <w:numId w:val="50"/>
        </w:numPr>
        <w:ind w:left="360"/>
        <w:rPr>
          <w:rFonts w:eastAsia="Arial" w:cs="Arial"/>
        </w:rPr>
      </w:pPr>
      <w:r w:rsidRPr="00051514">
        <w:rPr>
          <w:rFonts w:eastAsia="Arial" w:cs="Arial"/>
        </w:rPr>
        <w:t>We are monitored by ICAEW to ensure we meet professional and ethical standards.</w:t>
      </w:r>
    </w:p>
    <w:p w14:paraId="36358D7A" w14:textId="77777777" w:rsidR="00AC0C08" w:rsidRPr="003F3037" w:rsidRDefault="00AC0C08" w:rsidP="00AC0C08">
      <w:pPr>
        <w:pStyle w:val="ListParagraph"/>
        <w:numPr>
          <w:ilvl w:val="0"/>
          <w:numId w:val="50"/>
        </w:numPr>
        <w:ind w:left="360"/>
        <w:rPr>
          <w:rFonts w:eastAsia="Arial" w:cs="Arial"/>
        </w:rPr>
      </w:pPr>
      <w:r w:rsidRPr="00051514">
        <w:rPr>
          <w:rFonts w:eastAsia="Arial" w:cs="Arial"/>
        </w:rPr>
        <w:t>We comply with ICAEW’s Legal Services Regulations and Code of Ethics.</w:t>
      </w:r>
    </w:p>
    <w:p w14:paraId="3F814DAC" w14:textId="77777777" w:rsidR="00AC0C08" w:rsidRPr="003F3037" w:rsidRDefault="00AC0C08" w:rsidP="00AC0C08">
      <w:pPr>
        <w:pStyle w:val="ListParagraph"/>
        <w:numPr>
          <w:ilvl w:val="0"/>
          <w:numId w:val="50"/>
        </w:numPr>
        <w:ind w:left="360"/>
      </w:pPr>
      <w:r w:rsidRPr="00051514">
        <w:rPr>
          <w:rFonts w:eastAsia="Arial" w:cs="Arial"/>
        </w:rPr>
        <w:t xml:space="preserve">We must </w:t>
      </w:r>
      <w:r w:rsidRPr="00051514">
        <w:t>meet stringent accounting rules to keep client funds secure</w:t>
      </w:r>
      <w:r>
        <w:t>.</w:t>
      </w:r>
    </w:p>
    <w:p w14:paraId="5E8D9CD8" w14:textId="77777777" w:rsidR="00AC0C08" w:rsidRPr="003F3037" w:rsidRDefault="00AC0C08" w:rsidP="00AC0C08">
      <w:pPr>
        <w:pStyle w:val="ListParagraph"/>
        <w:numPr>
          <w:ilvl w:val="0"/>
          <w:numId w:val="50"/>
        </w:numPr>
        <w:ind w:left="360"/>
        <w:rPr>
          <w:rFonts w:eastAsia="Arial" w:cs="Arial"/>
        </w:rPr>
      </w:pPr>
      <w:r w:rsidRPr="00051514">
        <w:rPr>
          <w:rFonts w:eastAsia="Arial" w:cs="Arial"/>
        </w:rPr>
        <w:t xml:space="preserve">We maintain professional indemnity insurance </w:t>
      </w:r>
      <w:r>
        <w:rPr>
          <w:rFonts w:eastAsia="Arial" w:cs="Arial"/>
        </w:rPr>
        <w:t xml:space="preserve">(PII) </w:t>
      </w:r>
      <w:r w:rsidRPr="00051514">
        <w:t>offering protection for our clients in the unlikely event of a professional error.</w:t>
      </w:r>
    </w:p>
    <w:p w14:paraId="79C6F0BE" w14:textId="77777777" w:rsidR="00AC0C08" w:rsidRPr="003F3037" w:rsidRDefault="00AC0C08" w:rsidP="00AC0C08">
      <w:pPr>
        <w:pStyle w:val="ListParagraph"/>
        <w:numPr>
          <w:ilvl w:val="0"/>
          <w:numId w:val="50"/>
        </w:numPr>
        <w:ind w:left="360"/>
        <w:rPr>
          <w:rFonts w:eastAsia="Arial" w:cs="Arial"/>
        </w:rPr>
      </w:pPr>
      <w:r w:rsidRPr="00051514">
        <w:rPr>
          <w:rFonts w:eastAsia="Arial" w:cs="Arial"/>
        </w:rPr>
        <w:t>You can contact the Legal Ombudsman if something goes wrong and you're not satisfied with how we handle your complaint.</w:t>
      </w:r>
    </w:p>
    <w:p w14:paraId="600EA6E7" w14:textId="77777777" w:rsidR="00AC0C08" w:rsidRPr="003F3037" w:rsidRDefault="00AC0C08" w:rsidP="00AC0C08">
      <w:pPr>
        <w:pStyle w:val="ListParagraph"/>
        <w:numPr>
          <w:ilvl w:val="0"/>
          <w:numId w:val="50"/>
        </w:numPr>
        <w:ind w:left="360"/>
        <w:rPr>
          <w:rFonts w:eastAsia="Arial" w:cs="Arial"/>
        </w:rPr>
      </w:pPr>
      <w:r w:rsidRPr="00051514">
        <w:rPr>
          <w:rFonts w:eastAsia="Arial" w:cs="Arial"/>
        </w:rPr>
        <w:t xml:space="preserve">You may be able to claim through the </w:t>
      </w:r>
      <w:hyperlink r:id="rId22">
        <w:r>
          <w:rPr>
            <w:rStyle w:val="Hyperlink"/>
            <w:rFonts w:eastAsia="Arial"/>
          </w:rPr>
          <w:t>ICAEW Probate Compensation Scheme</w:t>
        </w:r>
      </w:hyperlink>
      <w:r w:rsidRPr="00051514">
        <w:rPr>
          <w:rFonts w:eastAsia="Arial" w:cs="Arial"/>
        </w:rPr>
        <w:t>. Details and eligibility are available on ICAEW’s website.</w:t>
      </w:r>
    </w:p>
    <w:p w14:paraId="2D25CBC1" w14:textId="77777777" w:rsidR="00AC0C08" w:rsidRPr="003F3037" w:rsidRDefault="00AC0C08" w:rsidP="00AC0C08">
      <w:pPr>
        <w:rPr>
          <w:rFonts w:eastAsia="Arial" w:cs="Arial"/>
        </w:rPr>
      </w:pPr>
    </w:p>
    <w:p w14:paraId="1E066ACE" w14:textId="77777777" w:rsidR="00AC0C08" w:rsidRPr="003F3037" w:rsidRDefault="00AC0C08" w:rsidP="00AC0C08">
      <w:pPr>
        <w:spacing w:after="200"/>
        <w:rPr>
          <w:rFonts w:eastAsia="Arial" w:cs="Arial"/>
        </w:rPr>
      </w:pPr>
      <w:r w:rsidRPr="00051514">
        <w:rPr>
          <w:rFonts w:eastAsia="Arial" w:cs="Arial"/>
        </w:rPr>
        <w:t>Our ICAEW probate registration number is: [Insert Number]</w:t>
      </w:r>
    </w:p>
    <w:p w14:paraId="773C2372" w14:textId="77777777" w:rsidR="00AC0C08" w:rsidRPr="003F3037" w:rsidRDefault="00AC0C08" w:rsidP="00AC0C08">
      <w:pPr>
        <w:spacing w:after="200"/>
        <w:rPr>
          <w:rFonts w:eastAsia="Arial" w:cs="Arial"/>
        </w:rPr>
      </w:pPr>
      <w:r w:rsidRPr="00051514">
        <w:rPr>
          <w:rFonts w:eastAsia="Arial" w:cs="Arial"/>
        </w:rPr>
        <w:t xml:space="preserve">You can verify our registration </w:t>
      </w:r>
      <w:r>
        <w:rPr>
          <w:rFonts w:eastAsia="Arial" w:cs="Arial"/>
        </w:rPr>
        <w:t xml:space="preserve">on the </w:t>
      </w:r>
      <w:hyperlink r:id="rId23">
        <w:r w:rsidRPr="00671EC1">
          <w:rPr>
            <w:rStyle w:val="Hyperlink"/>
            <w:rFonts w:eastAsia="Arial"/>
          </w:rPr>
          <w:t>ICAEW probate register</w:t>
        </w:r>
      </w:hyperlink>
    </w:p>
    <w:p w14:paraId="5928B89C" w14:textId="3270069D" w:rsidR="00AC0C08" w:rsidRPr="003F3037" w:rsidRDefault="00AC0C08" w:rsidP="00AC0C08">
      <w:pPr>
        <w:pStyle w:val="Heading3"/>
        <w:rPr>
          <w:color w:val="A9C47F" w:themeColor="accent1"/>
        </w:rPr>
      </w:pPr>
      <w:r w:rsidRPr="00051514">
        <w:t>Who will be working with you</w:t>
      </w:r>
      <w:r w:rsidR="0014229C">
        <w:t>?</w:t>
      </w:r>
    </w:p>
    <w:p w14:paraId="0A3F1D9B" w14:textId="77777777" w:rsidR="00AC0C08" w:rsidRPr="00051514" w:rsidRDefault="00AC0C08" w:rsidP="00AC0C08">
      <w:pPr>
        <w:spacing w:before="240" w:after="240"/>
      </w:pPr>
      <w:r w:rsidRPr="00051514">
        <w:rPr>
          <w:rFonts w:eastAsia="Arial" w:cs="Arial"/>
        </w:rPr>
        <w:t xml:space="preserve">We believe in transparency about who is delivering your service. On our </w:t>
      </w:r>
      <w:r w:rsidRPr="003F3037">
        <w:rPr>
          <w:rStyle w:val="Hyperlink"/>
        </w:rPr>
        <w:t>Meet the Team</w:t>
      </w:r>
      <w:r w:rsidRPr="00051514">
        <w:rPr>
          <w:rFonts w:eastAsia="Arial" w:cs="Arial"/>
        </w:rPr>
        <w:t xml:space="preserve"> page [Insert link], you can find:</w:t>
      </w:r>
    </w:p>
    <w:p w14:paraId="325F6A1F" w14:textId="77777777" w:rsidR="00AC0C08" w:rsidRPr="003F3037" w:rsidRDefault="00AC0C08" w:rsidP="00AC0C08">
      <w:pPr>
        <w:pStyle w:val="ListParagraph"/>
        <w:numPr>
          <w:ilvl w:val="0"/>
          <w:numId w:val="46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s</w:t>
      </w:r>
      <w:r w:rsidRPr="00051514">
        <w:rPr>
          <w:rFonts w:eastAsia="Arial" w:cs="Arial"/>
        </w:rPr>
        <w:t>taff qualifications and experience</w:t>
      </w:r>
      <w:r>
        <w:rPr>
          <w:rFonts w:eastAsia="Arial" w:cs="Arial"/>
        </w:rPr>
        <w:t>;</w:t>
      </w:r>
    </w:p>
    <w:p w14:paraId="1177048D" w14:textId="77777777" w:rsidR="00AC0C08" w:rsidRPr="003F3037" w:rsidRDefault="00AC0C08" w:rsidP="00AC0C08">
      <w:pPr>
        <w:pStyle w:val="ListParagraph"/>
        <w:numPr>
          <w:ilvl w:val="0"/>
          <w:numId w:val="46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i</w:t>
      </w:r>
      <w:r w:rsidRPr="00051514">
        <w:rPr>
          <w:rFonts w:eastAsia="Arial" w:cs="Arial"/>
        </w:rPr>
        <w:t>nformation about which team members carry out which types of work</w:t>
      </w:r>
      <w:r>
        <w:rPr>
          <w:rFonts w:eastAsia="Arial" w:cs="Arial"/>
        </w:rPr>
        <w:t xml:space="preserve">; and </w:t>
      </w:r>
    </w:p>
    <w:p w14:paraId="1DF64E2C" w14:textId="77777777" w:rsidR="00AC0C08" w:rsidRPr="003F3037" w:rsidRDefault="00AC0C08" w:rsidP="00AC0C08">
      <w:pPr>
        <w:pStyle w:val="ListParagraph"/>
        <w:numPr>
          <w:ilvl w:val="0"/>
          <w:numId w:val="46"/>
        </w:numPr>
        <w:spacing w:before="240" w:after="240" w:line="240" w:lineRule="auto"/>
        <w:rPr>
          <w:rFonts w:eastAsia="Arial" w:cs="Arial"/>
        </w:rPr>
      </w:pPr>
      <w:r>
        <w:rPr>
          <w:rFonts w:eastAsia="Arial" w:cs="Arial"/>
        </w:rPr>
        <w:t>their charging rates, w</w:t>
      </w:r>
      <w:r w:rsidRPr="00051514">
        <w:rPr>
          <w:rFonts w:eastAsia="Arial" w:cs="Arial"/>
        </w:rPr>
        <w:t>here relevant.</w:t>
      </w:r>
    </w:p>
    <w:p w14:paraId="5E6802FC" w14:textId="6A42BFAC" w:rsidR="009267AE" w:rsidRPr="009903A8" w:rsidRDefault="00AC0C08" w:rsidP="00AC0C08">
      <w:pPr>
        <w:spacing w:after="200"/>
        <w:rPr>
          <w:rFonts w:eastAsia="Arial" w:cs="Arial"/>
        </w:rPr>
      </w:pPr>
      <w:r w:rsidRPr="00051514">
        <w:rPr>
          <w:rFonts w:eastAsia="Arial" w:cs="Arial"/>
        </w:rPr>
        <w:t>In some cases, junior members of staff may assist with parts of the work to ensure efficiency. All work is carefully supervised by a qualified and experienced senior professional to maintain quality and consistency of service.</w:t>
      </w:r>
    </w:p>
    <w:sectPr w:rsidR="009267AE" w:rsidRPr="009903A8" w:rsidSect="00414DED">
      <w:headerReference w:type="default" r:id="rId24"/>
      <w:type w:val="continuous"/>
      <w:pgSz w:w="11909" w:h="16834" w:code="9"/>
      <w:pgMar w:top="1134" w:right="1134" w:bottom="709" w:left="1134" w:header="284" w:footer="51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isa McCarthy" w:date="2025-07-14T23:30:00Z" w:initials="EM">
    <w:p w14:paraId="3B8BB0A0" w14:textId="77777777" w:rsidR="00AC0C08" w:rsidRDefault="00AC0C08" w:rsidP="00AC0C08">
      <w:pPr>
        <w:pStyle w:val="CommentText"/>
      </w:pPr>
      <w:r>
        <w:rPr>
          <w:rStyle w:val="CommentReference"/>
        </w:rPr>
        <w:annotationRef/>
      </w:r>
      <w:r>
        <w:t>Want to link to homepage? or ‘Probate hub’?</w:t>
      </w:r>
    </w:p>
  </w:comment>
  <w:comment w:id="1" w:author="Elisa McCarthy" w:date="2025-07-14T23:33:00Z" w:initials="EM">
    <w:p w14:paraId="7903CBFA" w14:textId="77777777" w:rsidR="00AC0C08" w:rsidRDefault="00AC0C08" w:rsidP="00AC0C08">
      <w:pPr>
        <w:pStyle w:val="CommentText"/>
      </w:pPr>
      <w:r>
        <w:rPr>
          <w:rStyle w:val="CommentReference"/>
        </w:rPr>
        <w:annotationRef/>
      </w:r>
      <w:r>
        <w:t>Might be well known enough to not hyphenate.</w:t>
      </w:r>
    </w:p>
  </w:comment>
  <w:comment w:id="2" w:author="Elisa McCarthy" w:date="2025-07-14T23:35:00Z" w:initials="EM">
    <w:p w14:paraId="21B53E91" w14:textId="77777777" w:rsidR="00AC0C08" w:rsidRDefault="00AC0C08" w:rsidP="00AC0C08">
      <w:pPr>
        <w:pStyle w:val="CommentText"/>
      </w:pPr>
      <w:r>
        <w:rPr>
          <w:rStyle w:val="CommentReference"/>
        </w:rPr>
        <w:annotationRef/>
      </w:r>
      <w:r>
        <w:t>Is this needed or legalese?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8BB0A0" w15:done="1"/>
  <w15:commentEx w15:paraId="7903CBFA" w15:done="1"/>
  <w15:commentEx w15:paraId="21B53E9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0DB707" w16cex:dateUtc="2025-07-14T22:30:00Z"/>
  <w16cex:commentExtensible w16cex:durableId="64BD5B13" w16cex:dateUtc="2025-07-14T22:33:00Z"/>
  <w16cex:commentExtensible w16cex:durableId="3A993606" w16cex:dateUtc="2025-07-14T2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8BB0A0" w16cid:durableId="020DB707"/>
  <w16cid:commentId w16cid:paraId="7903CBFA" w16cid:durableId="64BD5B13"/>
  <w16cid:commentId w16cid:paraId="21B53E91" w16cid:durableId="3A9936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4C13" w14:textId="77777777" w:rsidR="006E7453" w:rsidRDefault="006E7453">
      <w:r>
        <w:separator/>
      </w:r>
    </w:p>
  </w:endnote>
  <w:endnote w:type="continuationSeparator" w:id="0">
    <w:p w14:paraId="3631E21A" w14:textId="77777777" w:rsidR="006E7453" w:rsidRDefault="006E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836A" w14:textId="77777777" w:rsidR="00BF7744" w:rsidRDefault="00BF7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A6DE" w14:textId="77777777" w:rsidR="00D359CF" w:rsidRDefault="00D359CF" w:rsidP="00D359CF"/>
  <w:tbl>
    <w:tblPr>
      <w:tblW w:w="514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3"/>
      <w:gridCol w:w="2410"/>
    </w:tblGrid>
    <w:tr w:rsidR="00D359CF" w:rsidRPr="009267AE" w14:paraId="13A2FA67" w14:textId="77777777" w:rsidTr="00BF7744">
      <w:tc>
        <w:tcPr>
          <w:tcW w:w="7513" w:type="dxa"/>
          <w:tcBorders>
            <w:top w:val="single" w:sz="4" w:space="0" w:color="E30613" w:themeColor="background2"/>
          </w:tcBorders>
          <w:vAlign w:val="bottom"/>
        </w:tcPr>
        <w:sdt>
          <w:sdtPr>
            <w:rPr>
              <w:bCs/>
              <w:sz w:val="12"/>
              <w:szCs w:val="12"/>
            </w:rPr>
            <w:alias w:val="Title"/>
            <w:tag w:val=""/>
            <w:id w:val="1128901554"/>
            <w:placeholder>
              <w:docPart w:val="CE6E290EA0F24C1FBAEF45B077BE2CC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A248610" w14:textId="38B932DD" w:rsidR="00D359CF" w:rsidRPr="009267AE" w:rsidRDefault="00B232F3" w:rsidP="009267AE">
              <w:pPr>
                <w:pStyle w:val="Footer"/>
                <w:rPr>
                  <w:bCs/>
                  <w:sz w:val="12"/>
                  <w:szCs w:val="12"/>
                </w:rPr>
              </w:pPr>
              <w:r>
                <w:rPr>
                  <w:bCs/>
                  <w:sz w:val="12"/>
                  <w:szCs w:val="12"/>
                </w:rPr>
                <w:t>ICAEW Transparency Guidance for Accredited Legal Services Firms: Template B - example website template for probate services</w:t>
              </w:r>
            </w:p>
          </w:sdtContent>
        </w:sdt>
        <w:p w14:paraId="40B59C7B" w14:textId="34F6F228" w:rsidR="009267AE" w:rsidRPr="009267AE" w:rsidRDefault="009267AE" w:rsidP="009267AE">
          <w:pPr>
            <w:pStyle w:val="Footer"/>
            <w:rPr>
              <w:bCs/>
              <w:sz w:val="12"/>
              <w:szCs w:val="12"/>
            </w:rPr>
          </w:pPr>
          <w:r w:rsidRPr="009267AE">
            <w:rPr>
              <w:bCs/>
              <w:sz w:val="12"/>
              <w:szCs w:val="12"/>
            </w:rPr>
            <w:t>© 2025</w:t>
          </w:r>
        </w:p>
      </w:tc>
      <w:tc>
        <w:tcPr>
          <w:tcW w:w="2410" w:type="dxa"/>
          <w:tcBorders>
            <w:top w:val="single" w:sz="4" w:space="0" w:color="E30613" w:themeColor="background2"/>
          </w:tcBorders>
        </w:tcPr>
        <w:p w14:paraId="1240F86C" w14:textId="77777777" w:rsidR="00D359CF" w:rsidRPr="009267AE" w:rsidRDefault="00D359CF" w:rsidP="00FF1F98">
          <w:pPr>
            <w:pStyle w:val="Footer"/>
            <w:jc w:val="right"/>
            <w:rPr>
              <w:bCs/>
              <w:sz w:val="12"/>
              <w:szCs w:val="12"/>
            </w:rPr>
          </w:pPr>
        </w:p>
        <w:p w14:paraId="618703A0" w14:textId="77777777" w:rsidR="00D359CF" w:rsidRPr="009267AE" w:rsidRDefault="00D359CF" w:rsidP="00FF1F98">
          <w:pPr>
            <w:pStyle w:val="Footer"/>
            <w:jc w:val="right"/>
            <w:rPr>
              <w:bCs/>
              <w:sz w:val="12"/>
              <w:szCs w:val="12"/>
            </w:rPr>
          </w:pPr>
          <w:r w:rsidRPr="009267AE">
            <w:rPr>
              <w:bCs/>
              <w:sz w:val="12"/>
              <w:szCs w:val="12"/>
            </w:rPr>
            <w:t xml:space="preserve">Page </w:t>
          </w:r>
          <w:r w:rsidRPr="009267AE">
            <w:rPr>
              <w:bCs/>
              <w:sz w:val="12"/>
              <w:szCs w:val="12"/>
            </w:rPr>
            <w:fldChar w:fldCharType="begin"/>
          </w:r>
          <w:r w:rsidRPr="009267AE">
            <w:rPr>
              <w:bCs/>
              <w:sz w:val="12"/>
              <w:szCs w:val="12"/>
            </w:rPr>
            <w:instrText xml:space="preserve"> page</w:instrText>
          </w:r>
          <w:r w:rsidRPr="009267AE">
            <w:rPr>
              <w:bCs/>
              <w:sz w:val="12"/>
              <w:szCs w:val="12"/>
            </w:rPr>
            <w:fldChar w:fldCharType="separate"/>
          </w:r>
          <w:r w:rsidR="0057083A" w:rsidRPr="009267AE">
            <w:rPr>
              <w:bCs/>
              <w:noProof/>
              <w:sz w:val="12"/>
              <w:szCs w:val="12"/>
            </w:rPr>
            <w:t>1</w:t>
          </w:r>
          <w:r w:rsidRPr="009267AE">
            <w:rPr>
              <w:bCs/>
              <w:sz w:val="12"/>
              <w:szCs w:val="12"/>
            </w:rPr>
            <w:fldChar w:fldCharType="end"/>
          </w:r>
          <w:r w:rsidRPr="009267AE">
            <w:rPr>
              <w:bCs/>
              <w:sz w:val="12"/>
              <w:szCs w:val="12"/>
            </w:rPr>
            <w:t xml:space="preserve"> of </w:t>
          </w:r>
          <w:r w:rsidR="0057083A" w:rsidRPr="009267AE">
            <w:rPr>
              <w:bCs/>
              <w:sz w:val="12"/>
              <w:szCs w:val="12"/>
            </w:rPr>
            <w:fldChar w:fldCharType="begin"/>
          </w:r>
          <w:r w:rsidR="0057083A" w:rsidRPr="009267AE">
            <w:rPr>
              <w:bCs/>
              <w:sz w:val="12"/>
              <w:szCs w:val="12"/>
            </w:rPr>
            <w:instrText xml:space="preserve"> numpages </w:instrText>
          </w:r>
          <w:r w:rsidR="0057083A" w:rsidRPr="009267AE">
            <w:rPr>
              <w:bCs/>
              <w:sz w:val="12"/>
              <w:szCs w:val="12"/>
            </w:rPr>
            <w:fldChar w:fldCharType="separate"/>
          </w:r>
          <w:r w:rsidR="0057083A" w:rsidRPr="009267AE">
            <w:rPr>
              <w:bCs/>
              <w:noProof/>
              <w:sz w:val="12"/>
              <w:szCs w:val="12"/>
            </w:rPr>
            <w:t>1</w:t>
          </w:r>
          <w:r w:rsidR="0057083A" w:rsidRPr="009267AE">
            <w:rPr>
              <w:bCs/>
              <w:noProof/>
              <w:sz w:val="12"/>
              <w:szCs w:val="12"/>
            </w:rPr>
            <w:fldChar w:fldCharType="end"/>
          </w:r>
        </w:p>
      </w:tc>
    </w:tr>
  </w:tbl>
  <w:p w14:paraId="6E6CFCC2" w14:textId="77777777" w:rsidR="00C53111" w:rsidRPr="00B53EF6" w:rsidRDefault="00C53111" w:rsidP="00D359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5444" w14:textId="77777777" w:rsidR="00C53111" w:rsidRDefault="00C53111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53111" w:rsidRPr="00824549" w14:paraId="39C71F06" w14:textId="77777777" w:rsidTr="0056655D">
      <w:tc>
        <w:tcPr>
          <w:tcW w:w="4815" w:type="dxa"/>
          <w:tcBorders>
            <w:top w:val="single" w:sz="4" w:space="0" w:color="E30613" w:themeColor="background2"/>
          </w:tcBorders>
        </w:tcPr>
        <w:p w14:paraId="0CAFB13D" w14:textId="77777777" w:rsidR="00C53111" w:rsidRPr="00953929" w:rsidRDefault="00C53111" w:rsidP="0056655D">
          <w:pPr>
            <w:pStyle w:val="Footer"/>
            <w:rPr>
              <w:sz w:val="8"/>
            </w:rPr>
          </w:pPr>
        </w:p>
        <w:p w14:paraId="4B2F204A" w14:textId="77777777" w:rsidR="00C53111" w:rsidRPr="00953929" w:rsidRDefault="009267AE" w:rsidP="0056655D">
          <w:pPr>
            <w:pStyle w:val="Footer"/>
            <w:rPr>
              <w:b/>
              <w:sz w:val="8"/>
            </w:rPr>
          </w:pPr>
          <w:fldSimple w:instr=" FILENAME   \* MERGEFORMAT ">
            <w:r>
              <w:rPr>
                <w:noProof/>
              </w:rPr>
              <w:t>Document2</w:t>
            </w:r>
          </w:fldSimple>
        </w:p>
      </w:tc>
      <w:tc>
        <w:tcPr>
          <w:tcW w:w="4816" w:type="dxa"/>
          <w:tcBorders>
            <w:top w:val="single" w:sz="4" w:space="0" w:color="E30613" w:themeColor="background2"/>
          </w:tcBorders>
        </w:tcPr>
        <w:p w14:paraId="69F69A63" w14:textId="77777777" w:rsidR="00C53111" w:rsidRPr="00953929" w:rsidRDefault="00C53111" w:rsidP="0056655D">
          <w:pPr>
            <w:pStyle w:val="Footer"/>
            <w:jc w:val="right"/>
            <w:rPr>
              <w:sz w:val="8"/>
            </w:rPr>
          </w:pPr>
        </w:p>
        <w:p w14:paraId="348DAA32" w14:textId="77777777" w:rsidR="00C53111" w:rsidRPr="005E6231" w:rsidRDefault="00C53111" w:rsidP="0056655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6E3BC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">
            <w:r w:rsidR="00D359CF">
              <w:rPr>
                <w:noProof/>
              </w:rPr>
              <w:t>1</w:t>
            </w:r>
          </w:fldSimple>
        </w:p>
      </w:tc>
    </w:tr>
  </w:tbl>
  <w:p w14:paraId="26FE015F" w14:textId="77777777" w:rsidR="00C53111" w:rsidRPr="00AD2C76" w:rsidRDefault="00C53111" w:rsidP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B1A5" w14:textId="77777777" w:rsidR="006E7453" w:rsidRDefault="006E7453">
      <w:r>
        <w:separator/>
      </w:r>
    </w:p>
  </w:footnote>
  <w:footnote w:type="continuationSeparator" w:id="0">
    <w:p w14:paraId="4B57624F" w14:textId="77777777" w:rsidR="006E7453" w:rsidRDefault="006E7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2CB9" w14:textId="77777777" w:rsidR="00BF7744" w:rsidRDefault="00BF7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345E" w14:textId="77777777" w:rsidR="006E3BC3" w:rsidRPr="00BF77C3" w:rsidRDefault="009F3442" w:rsidP="006E3BC3">
    <w:r>
      <w:rPr>
        <w:noProof/>
      </w:rPr>
      <w:drawing>
        <wp:anchor distT="0" distB="0" distL="114300" distR="114300" simplePos="0" relativeHeight="251658240" behindDoc="1" locked="0" layoutInCell="1" allowOverlap="1" wp14:anchorId="089F16BC" wp14:editId="5A37F05B">
          <wp:simplePos x="0" y="0"/>
          <wp:positionH relativeFrom="page">
            <wp:posOffset>6379210</wp:posOffset>
          </wp:positionH>
          <wp:positionV relativeFrom="page">
            <wp:posOffset>370840</wp:posOffset>
          </wp:positionV>
          <wp:extent cx="765720" cy="1260000"/>
          <wp:effectExtent l="0" t="0" r="0" b="0"/>
          <wp:wrapNone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ECAB" w14:textId="77777777" w:rsidR="00BF7744" w:rsidRDefault="00BF77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8334" w14:textId="77777777" w:rsidR="006E3BC3" w:rsidRPr="006E3BC3" w:rsidRDefault="006E3BC3" w:rsidP="006E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6BCABA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30613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613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2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1A9AA6B7"/>
    <w:multiLevelType w:val="hybridMultilevel"/>
    <w:tmpl w:val="4D343FA4"/>
    <w:lvl w:ilvl="0" w:tplc="C088D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20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A41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E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A7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CE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A0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28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CF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5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26EA83C0"/>
    <w:multiLevelType w:val="hybridMultilevel"/>
    <w:tmpl w:val="B5308940"/>
    <w:lvl w:ilvl="0" w:tplc="F064C456">
      <w:start w:val="1"/>
      <w:numFmt w:val="decimal"/>
      <w:lvlText w:val="%1."/>
      <w:lvlJc w:val="left"/>
      <w:pPr>
        <w:ind w:left="720" w:hanging="360"/>
      </w:pPr>
    </w:lvl>
    <w:lvl w:ilvl="1" w:tplc="C87256EE">
      <w:start w:val="1"/>
      <w:numFmt w:val="lowerLetter"/>
      <w:lvlText w:val="%2."/>
      <w:lvlJc w:val="left"/>
      <w:pPr>
        <w:ind w:left="1440" w:hanging="360"/>
      </w:pPr>
    </w:lvl>
    <w:lvl w:ilvl="2" w:tplc="3AD0B1F2">
      <w:start w:val="1"/>
      <w:numFmt w:val="lowerRoman"/>
      <w:lvlText w:val="%3."/>
      <w:lvlJc w:val="right"/>
      <w:pPr>
        <w:ind w:left="2160" w:hanging="180"/>
      </w:pPr>
    </w:lvl>
    <w:lvl w:ilvl="3" w:tplc="27E272EA">
      <w:start w:val="1"/>
      <w:numFmt w:val="decimal"/>
      <w:lvlText w:val="%4."/>
      <w:lvlJc w:val="left"/>
      <w:pPr>
        <w:ind w:left="2880" w:hanging="360"/>
      </w:pPr>
    </w:lvl>
    <w:lvl w:ilvl="4" w:tplc="F10E4A60">
      <w:start w:val="1"/>
      <w:numFmt w:val="lowerLetter"/>
      <w:lvlText w:val="%5."/>
      <w:lvlJc w:val="left"/>
      <w:pPr>
        <w:ind w:left="3600" w:hanging="360"/>
      </w:pPr>
    </w:lvl>
    <w:lvl w:ilvl="5" w:tplc="A9F49E48">
      <w:start w:val="1"/>
      <w:numFmt w:val="lowerRoman"/>
      <w:lvlText w:val="%6."/>
      <w:lvlJc w:val="right"/>
      <w:pPr>
        <w:ind w:left="4320" w:hanging="180"/>
      </w:pPr>
    </w:lvl>
    <w:lvl w:ilvl="6" w:tplc="BCAA46CA">
      <w:start w:val="1"/>
      <w:numFmt w:val="decimal"/>
      <w:lvlText w:val="%7."/>
      <w:lvlJc w:val="left"/>
      <w:pPr>
        <w:ind w:left="5040" w:hanging="360"/>
      </w:pPr>
    </w:lvl>
    <w:lvl w:ilvl="7" w:tplc="1CD0A59A">
      <w:start w:val="1"/>
      <w:numFmt w:val="lowerLetter"/>
      <w:lvlText w:val="%8."/>
      <w:lvlJc w:val="left"/>
      <w:pPr>
        <w:ind w:left="5760" w:hanging="360"/>
      </w:pPr>
    </w:lvl>
    <w:lvl w:ilvl="8" w:tplc="9DA0B1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262B4"/>
    <w:multiLevelType w:val="hybridMultilevel"/>
    <w:tmpl w:val="F73E8AE4"/>
    <w:lvl w:ilvl="0" w:tplc="C3BEEC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804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E06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A7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4E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E4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0E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0B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0E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4D708"/>
    <w:multiLevelType w:val="hybridMultilevel"/>
    <w:tmpl w:val="3EF47DAE"/>
    <w:lvl w:ilvl="0" w:tplc="DAB4D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A0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6A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C1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63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C5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C0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A7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68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22" w15:restartNumberingAfterBreak="0">
    <w:nsid w:val="430845D5"/>
    <w:multiLevelType w:val="hybridMultilevel"/>
    <w:tmpl w:val="7A22D5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2FC11"/>
    <w:multiLevelType w:val="hybridMultilevel"/>
    <w:tmpl w:val="70ECAA4C"/>
    <w:lvl w:ilvl="0" w:tplc="C1705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A9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C0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A8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E4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A7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27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06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44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023A5"/>
    <w:multiLevelType w:val="hybridMultilevel"/>
    <w:tmpl w:val="E6A4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A10E5"/>
    <w:multiLevelType w:val="hybridMultilevel"/>
    <w:tmpl w:val="712E7006"/>
    <w:lvl w:ilvl="0" w:tplc="2B4EC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5E2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04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E9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C6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C9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64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0D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62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7" w15:restartNumberingAfterBreak="0">
    <w:nsid w:val="66D414EE"/>
    <w:multiLevelType w:val="multilevel"/>
    <w:tmpl w:val="2BE094B4"/>
    <w:numStyleLink w:val="Bulletpoints"/>
  </w:abstractNum>
  <w:abstractNum w:abstractNumId="28" w15:restartNumberingAfterBreak="0">
    <w:nsid w:val="68FD3E46"/>
    <w:multiLevelType w:val="hybridMultilevel"/>
    <w:tmpl w:val="C92ADE74"/>
    <w:lvl w:ilvl="0" w:tplc="A9F0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6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C2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0B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6C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AF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E7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E8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66A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87AE7"/>
    <w:multiLevelType w:val="hybridMultilevel"/>
    <w:tmpl w:val="8DB01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31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1155626">
    <w:abstractNumId w:val="17"/>
  </w:num>
  <w:num w:numId="2" w16cid:durableId="1835799112">
    <w:abstractNumId w:val="10"/>
  </w:num>
  <w:num w:numId="3" w16cid:durableId="710032064">
    <w:abstractNumId w:val="31"/>
  </w:num>
  <w:num w:numId="4" w16cid:durableId="1257330320">
    <w:abstractNumId w:val="26"/>
  </w:num>
  <w:num w:numId="5" w16cid:durableId="861826518">
    <w:abstractNumId w:val="15"/>
  </w:num>
  <w:num w:numId="6" w16cid:durableId="1985962665">
    <w:abstractNumId w:val="21"/>
  </w:num>
  <w:num w:numId="7" w16cid:durableId="1396001902">
    <w:abstractNumId w:val="11"/>
  </w:num>
  <w:num w:numId="8" w16cid:durableId="1621103601">
    <w:abstractNumId w:val="8"/>
  </w:num>
  <w:num w:numId="9" w16cid:durableId="2142259881">
    <w:abstractNumId w:val="30"/>
  </w:num>
  <w:num w:numId="10" w16cid:durableId="1616984099">
    <w:abstractNumId w:val="14"/>
  </w:num>
  <w:num w:numId="11" w16cid:durableId="681709349">
    <w:abstractNumId w:val="27"/>
  </w:num>
  <w:num w:numId="12" w16cid:durableId="1517384332">
    <w:abstractNumId w:val="3"/>
  </w:num>
  <w:num w:numId="13" w16cid:durableId="1448045388">
    <w:abstractNumId w:val="2"/>
  </w:num>
  <w:num w:numId="14" w16cid:durableId="1087964392">
    <w:abstractNumId w:val="9"/>
  </w:num>
  <w:num w:numId="15" w16cid:durableId="1703939930">
    <w:abstractNumId w:val="7"/>
  </w:num>
  <w:num w:numId="16" w16cid:durableId="492181475">
    <w:abstractNumId w:val="9"/>
  </w:num>
  <w:num w:numId="17" w16cid:durableId="2127000217">
    <w:abstractNumId w:val="7"/>
  </w:num>
  <w:num w:numId="18" w16cid:durableId="1351179794">
    <w:abstractNumId w:val="30"/>
  </w:num>
  <w:num w:numId="19" w16cid:durableId="478807726">
    <w:abstractNumId w:val="3"/>
  </w:num>
  <w:num w:numId="20" w16cid:durableId="1468887789">
    <w:abstractNumId w:val="2"/>
  </w:num>
  <w:num w:numId="21" w16cid:durableId="537165708">
    <w:abstractNumId w:val="12"/>
  </w:num>
  <w:num w:numId="22" w16cid:durableId="767701996">
    <w:abstractNumId w:val="6"/>
  </w:num>
  <w:num w:numId="23" w16cid:durableId="1364985212">
    <w:abstractNumId w:val="5"/>
  </w:num>
  <w:num w:numId="24" w16cid:durableId="1626810563">
    <w:abstractNumId w:val="4"/>
  </w:num>
  <w:num w:numId="25" w16cid:durableId="1712653779">
    <w:abstractNumId w:val="1"/>
  </w:num>
  <w:num w:numId="26" w16cid:durableId="864251315">
    <w:abstractNumId w:val="0"/>
  </w:num>
  <w:num w:numId="27" w16cid:durableId="101073554">
    <w:abstractNumId w:val="19"/>
  </w:num>
  <w:num w:numId="28" w16cid:durableId="1099331380">
    <w:abstractNumId w:val="19"/>
  </w:num>
  <w:num w:numId="29" w16cid:durableId="1995332603">
    <w:abstractNumId w:val="6"/>
  </w:num>
  <w:num w:numId="30" w16cid:durableId="1936666615">
    <w:abstractNumId w:val="30"/>
  </w:num>
  <w:num w:numId="31" w16cid:durableId="2097242329">
    <w:abstractNumId w:val="30"/>
  </w:num>
  <w:num w:numId="32" w16cid:durableId="963392143">
    <w:abstractNumId w:val="30"/>
  </w:num>
  <w:num w:numId="33" w16cid:durableId="1590848455">
    <w:abstractNumId w:val="19"/>
  </w:num>
  <w:num w:numId="34" w16cid:durableId="1990867147">
    <w:abstractNumId w:val="14"/>
  </w:num>
  <w:num w:numId="35" w16cid:durableId="1643925979">
    <w:abstractNumId w:val="12"/>
  </w:num>
  <w:num w:numId="36" w16cid:durableId="896818643">
    <w:abstractNumId w:val="12"/>
  </w:num>
  <w:num w:numId="37" w16cid:durableId="82723123">
    <w:abstractNumId w:val="12"/>
  </w:num>
  <w:num w:numId="38" w16cid:durableId="1021516377">
    <w:abstractNumId w:val="30"/>
  </w:num>
  <w:num w:numId="39" w16cid:durableId="757600971">
    <w:abstractNumId w:val="30"/>
  </w:num>
  <w:num w:numId="40" w16cid:durableId="1936983563">
    <w:abstractNumId w:val="30"/>
  </w:num>
  <w:num w:numId="41" w16cid:durableId="928584790">
    <w:abstractNumId w:val="29"/>
  </w:num>
  <w:num w:numId="42" w16cid:durableId="294725966">
    <w:abstractNumId w:val="20"/>
  </w:num>
  <w:num w:numId="43" w16cid:durableId="2000301000">
    <w:abstractNumId w:val="24"/>
  </w:num>
  <w:num w:numId="44" w16cid:durableId="1783651402">
    <w:abstractNumId w:val="22"/>
  </w:num>
  <w:num w:numId="45" w16cid:durableId="1116027115">
    <w:abstractNumId w:val="13"/>
  </w:num>
  <w:num w:numId="46" w16cid:durableId="1799911808">
    <w:abstractNumId w:val="28"/>
  </w:num>
  <w:num w:numId="47" w16cid:durableId="290522281">
    <w:abstractNumId w:val="25"/>
  </w:num>
  <w:num w:numId="48" w16cid:durableId="1889028116">
    <w:abstractNumId w:val="16"/>
  </w:num>
  <w:num w:numId="49" w16cid:durableId="879172628">
    <w:abstractNumId w:val="23"/>
  </w:num>
  <w:num w:numId="50" w16cid:durableId="12721080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a McCarthy">
    <w15:presenceInfo w15:providerId="AD" w15:userId="S::elisa.mccarthy@icaew.com::065addbd-8194-43b7-920a-c5be576dd2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AE"/>
    <w:rsid w:val="00011714"/>
    <w:rsid w:val="00020EA7"/>
    <w:rsid w:val="0002207F"/>
    <w:rsid w:val="00022A49"/>
    <w:rsid w:val="00036B83"/>
    <w:rsid w:val="0004441E"/>
    <w:rsid w:val="00044F2A"/>
    <w:rsid w:val="000451D9"/>
    <w:rsid w:val="00046265"/>
    <w:rsid w:val="00046840"/>
    <w:rsid w:val="00047ED5"/>
    <w:rsid w:val="00055FB2"/>
    <w:rsid w:val="00060785"/>
    <w:rsid w:val="000665A5"/>
    <w:rsid w:val="0007274B"/>
    <w:rsid w:val="00076D5D"/>
    <w:rsid w:val="0009306F"/>
    <w:rsid w:val="00096107"/>
    <w:rsid w:val="00096FC2"/>
    <w:rsid w:val="000A6655"/>
    <w:rsid w:val="000C5154"/>
    <w:rsid w:val="000D353A"/>
    <w:rsid w:val="000D3EE5"/>
    <w:rsid w:val="000E21C5"/>
    <w:rsid w:val="000E738D"/>
    <w:rsid w:val="00100726"/>
    <w:rsid w:val="00116848"/>
    <w:rsid w:val="00121C59"/>
    <w:rsid w:val="00122D1C"/>
    <w:rsid w:val="00125AF8"/>
    <w:rsid w:val="00127134"/>
    <w:rsid w:val="00131D9D"/>
    <w:rsid w:val="00135EF5"/>
    <w:rsid w:val="0014229C"/>
    <w:rsid w:val="00142C7B"/>
    <w:rsid w:val="0014394F"/>
    <w:rsid w:val="00170447"/>
    <w:rsid w:val="0018529E"/>
    <w:rsid w:val="001859E0"/>
    <w:rsid w:val="00191962"/>
    <w:rsid w:val="00196302"/>
    <w:rsid w:val="001A3DD0"/>
    <w:rsid w:val="001A3FB0"/>
    <w:rsid w:val="001A6D7B"/>
    <w:rsid w:val="001B1995"/>
    <w:rsid w:val="001B381C"/>
    <w:rsid w:val="001D16DD"/>
    <w:rsid w:val="001D4A17"/>
    <w:rsid w:val="001F0156"/>
    <w:rsid w:val="001F7F52"/>
    <w:rsid w:val="002043BD"/>
    <w:rsid w:val="00231332"/>
    <w:rsid w:val="0023202B"/>
    <w:rsid w:val="00262519"/>
    <w:rsid w:val="00266693"/>
    <w:rsid w:val="002673B6"/>
    <w:rsid w:val="00270CC3"/>
    <w:rsid w:val="00274DF6"/>
    <w:rsid w:val="002B3ACC"/>
    <w:rsid w:val="002B72FC"/>
    <w:rsid w:val="002C41B4"/>
    <w:rsid w:val="002C6D24"/>
    <w:rsid w:val="002D77F5"/>
    <w:rsid w:val="002E7C0D"/>
    <w:rsid w:val="002F54B6"/>
    <w:rsid w:val="00301A7F"/>
    <w:rsid w:val="00303ED5"/>
    <w:rsid w:val="00322535"/>
    <w:rsid w:val="003363A6"/>
    <w:rsid w:val="003430D4"/>
    <w:rsid w:val="00351EE2"/>
    <w:rsid w:val="00371A42"/>
    <w:rsid w:val="003756B5"/>
    <w:rsid w:val="00375790"/>
    <w:rsid w:val="00380268"/>
    <w:rsid w:val="0039400A"/>
    <w:rsid w:val="003B183E"/>
    <w:rsid w:val="003C4D3E"/>
    <w:rsid w:val="003D27B7"/>
    <w:rsid w:val="003D71E9"/>
    <w:rsid w:val="003E2BE0"/>
    <w:rsid w:val="003F733A"/>
    <w:rsid w:val="004077FD"/>
    <w:rsid w:val="00414DED"/>
    <w:rsid w:val="0042424F"/>
    <w:rsid w:val="00424745"/>
    <w:rsid w:val="00430E4E"/>
    <w:rsid w:val="00443D8F"/>
    <w:rsid w:val="00455C6B"/>
    <w:rsid w:val="00455DE7"/>
    <w:rsid w:val="0046302A"/>
    <w:rsid w:val="004633EB"/>
    <w:rsid w:val="0049440F"/>
    <w:rsid w:val="00497ECF"/>
    <w:rsid w:val="004A452F"/>
    <w:rsid w:val="004A5067"/>
    <w:rsid w:val="004A5AA0"/>
    <w:rsid w:val="004A66E2"/>
    <w:rsid w:val="004B3764"/>
    <w:rsid w:val="004C59F1"/>
    <w:rsid w:val="004D30D6"/>
    <w:rsid w:val="004F2309"/>
    <w:rsid w:val="004F41DD"/>
    <w:rsid w:val="004F799E"/>
    <w:rsid w:val="00501458"/>
    <w:rsid w:val="005105E7"/>
    <w:rsid w:val="0052510B"/>
    <w:rsid w:val="005279C7"/>
    <w:rsid w:val="005459E1"/>
    <w:rsid w:val="0054793D"/>
    <w:rsid w:val="005617A0"/>
    <w:rsid w:val="005630D6"/>
    <w:rsid w:val="00566D33"/>
    <w:rsid w:val="0057083A"/>
    <w:rsid w:val="005711DA"/>
    <w:rsid w:val="005767B8"/>
    <w:rsid w:val="005806CD"/>
    <w:rsid w:val="005A7BD7"/>
    <w:rsid w:val="005A7E6A"/>
    <w:rsid w:val="005C0AF5"/>
    <w:rsid w:val="005D2263"/>
    <w:rsid w:val="005E2C23"/>
    <w:rsid w:val="005E76A8"/>
    <w:rsid w:val="00602D54"/>
    <w:rsid w:val="00635029"/>
    <w:rsid w:val="0065293D"/>
    <w:rsid w:val="006547A7"/>
    <w:rsid w:val="006669C4"/>
    <w:rsid w:val="00671EC1"/>
    <w:rsid w:val="00692D4B"/>
    <w:rsid w:val="00696621"/>
    <w:rsid w:val="006A04FA"/>
    <w:rsid w:val="006A4896"/>
    <w:rsid w:val="006A6639"/>
    <w:rsid w:val="006C36DB"/>
    <w:rsid w:val="006C5CB9"/>
    <w:rsid w:val="006D3ED7"/>
    <w:rsid w:val="006E3BC3"/>
    <w:rsid w:val="006E7453"/>
    <w:rsid w:val="006E7E0D"/>
    <w:rsid w:val="006F1F36"/>
    <w:rsid w:val="006F6EF8"/>
    <w:rsid w:val="00706FD2"/>
    <w:rsid w:val="00711119"/>
    <w:rsid w:val="0072218F"/>
    <w:rsid w:val="007252B9"/>
    <w:rsid w:val="00752E9D"/>
    <w:rsid w:val="00772BFB"/>
    <w:rsid w:val="007869A1"/>
    <w:rsid w:val="007A2787"/>
    <w:rsid w:val="007B37DD"/>
    <w:rsid w:val="007C7F52"/>
    <w:rsid w:val="007D02FF"/>
    <w:rsid w:val="007D5BEC"/>
    <w:rsid w:val="007E3409"/>
    <w:rsid w:val="00814B30"/>
    <w:rsid w:val="00820174"/>
    <w:rsid w:val="00835B22"/>
    <w:rsid w:val="0086003C"/>
    <w:rsid w:val="0086056D"/>
    <w:rsid w:val="00862066"/>
    <w:rsid w:val="00877929"/>
    <w:rsid w:val="00880DF2"/>
    <w:rsid w:val="00894D88"/>
    <w:rsid w:val="008D189F"/>
    <w:rsid w:val="008D21EA"/>
    <w:rsid w:val="008D252D"/>
    <w:rsid w:val="008D6BDF"/>
    <w:rsid w:val="008D7527"/>
    <w:rsid w:val="008E0C43"/>
    <w:rsid w:val="008E72F4"/>
    <w:rsid w:val="0092322B"/>
    <w:rsid w:val="009267AE"/>
    <w:rsid w:val="009433D5"/>
    <w:rsid w:val="009454AA"/>
    <w:rsid w:val="00946C98"/>
    <w:rsid w:val="009533A0"/>
    <w:rsid w:val="009537AB"/>
    <w:rsid w:val="0096735F"/>
    <w:rsid w:val="00967411"/>
    <w:rsid w:val="009759B7"/>
    <w:rsid w:val="00977180"/>
    <w:rsid w:val="0098049C"/>
    <w:rsid w:val="009865F8"/>
    <w:rsid w:val="009903A8"/>
    <w:rsid w:val="00994736"/>
    <w:rsid w:val="009969D1"/>
    <w:rsid w:val="009B78DA"/>
    <w:rsid w:val="009C18E2"/>
    <w:rsid w:val="009C40A5"/>
    <w:rsid w:val="009C500C"/>
    <w:rsid w:val="009D0157"/>
    <w:rsid w:val="009D0454"/>
    <w:rsid w:val="009D4FC8"/>
    <w:rsid w:val="009F1613"/>
    <w:rsid w:val="009F3442"/>
    <w:rsid w:val="009F6DC9"/>
    <w:rsid w:val="009F7766"/>
    <w:rsid w:val="00A0012D"/>
    <w:rsid w:val="00A06E35"/>
    <w:rsid w:val="00A1185D"/>
    <w:rsid w:val="00A13645"/>
    <w:rsid w:val="00A428AC"/>
    <w:rsid w:val="00A574DD"/>
    <w:rsid w:val="00A57C9F"/>
    <w:rsid w:val="00A7500C"/>
    <w:rsid w:val="00A814AF"/>
    <w:rsid w:val="00A828F0"/>
    <w:rsid w:val="00A95004"/>
    <w:rsid w:val="00A95355"/>
    <w:rsid w:val="00A96947"/>
    <w:rsid w:val="00AB4D8B"/>
    <w:rsid w:val="00AC0C08"/>
    <w:rsid w:val="00AF4A0D"/>
    <w:rsid w:val="00B03BD7"/>
    <w:rsid w:val="00B06F33"/>
    <w:rsid w:val="00B1488D"/>
    <w:rsid w:val="00B22F3D"/>
    <w:rsid w:val="00B232F3"/>
    <w:rsid w:val="00B25283"/>
    <w:rsid w:val="00B2678F"/>
    <w:rsid w:val="00B274C8"/>
    <w:rsid w:val="00B446CF"/>
    <w:rsid w:val="00B53EF6"/>
    <w:rsid w:val="00B60C4C"/>
    <w:rsid w:val="00B84DB6"/>
    <w:rsid w:val="00B920DE"/>
    <w:rsid w:val="00BC303F"/>
    <w:rsid w:val="00BC3EAD"/>
    <w:rsid w:val="00BE639E"/>
    <w:rsid w:val="00BE6A6B"/>
    <w:rsid w:val="00BF7744"/>
    <w:rsid w:val="00BF77C3"/>
    <w:rsid w:val="00C01E89"/>
    <w:rsid w:val="00C04351"/>
    <w:rsid w:val="00C04E32"/>
    <w:rsid w:val="00C11997"/>
    <w:rsid w:val="00C225B9"/>
    <w:rsid w:val="00C24234"/>
    <w:rsid w:val="00C2430D"/>
    <w:rsid w:val="00C44D75"/>
    <w:rsid w:val="00C44E9A"/>
    <w:rsid w:val="00C53111"/>
    <w:rsid w:val="00C55667"/>
    <w:rsid w:val="00C63D9D"/>
    <w:rsid w:val="00C64680"/>
    <w:rsid w:val="00C7048D"/>
    <w:rsid w:val="00C837C3"/>
    <w:rsid w:val="00C844B1"/>
    <w:rsid w:val="00C87E8D"/>
    <w:rsid w:val="00C90AC1"/>
    <w:rsid w:val="00C93B9C"/>
    <w:rsid w:val="00C94D19"/>
    <w:rsid w:val="00CD13E4"/>
    <w:rsid w:val="00CD5131"/>
    <w:rsid w:val="00CE7C9B"/>
    <w:rsid w:val="00CF311D"/>
    <w:rsid w:val="00D0057B"/>
    <w:rsid w:val="00D10BD3"/>
    <w:rsid w:val="00D147D7"/>
    <w:rsid w:val="00D2425D"/>
    <w:rsid w:val="00D353D0"/>
    <w:rsid w:val="00D359CF"/>
    <w:rsid w:val="00D4404E"/>
    <w:rsid w:val="00D45535"/>
    <w:rsid w:val="00D53A76"/>
    <w:rsid w:val="00D53BE4"/>
    <w:rsid w:val="00D57961"/>
    <w:rsid w:val="00D90AEE"/>
    <w:rsid w:val="00D93C2B"/>
    <w:rsid w:val="00D94457"/>
    <w:rsid w:val="00DD5301"/>
    <w:rsid w:val="00E32316"/>
    <w:rsid w:val="00E447FC"/>
    <w:rsid w:val="00E56315"/>
    <w:rsid w:val="00E60A96"/>
    <w:rsid w:val="00E66138"/>
    <w:rsid w:val="00E8055D"/>
    <w:rsid w:val="00E9054A"/>
    <w:rsid w:val="00E951EB"/>
    <w:rsid w:val="00EA6075"/>
    <w:rsid w:val="00EA78CC"/>
    <w:rsid w:val="00EC4B79"/>
    <w:rsid w:val="00ED3D13"/>
    <w:rsid w:val="00EE2126"/>
    <w:rsid w:val="00EE6B2C"/>
    <w:rsid w:val="00EF421E"/>
    <w:rsid w:val="00EF7C74"/>
    <w:rsid w:val="00F019A3"/>
    <w:rsid w:val="00F1102D"/>
    <w:rsid w:val="00F238CD"/>
    <w:rsid w:val="00F27BEC"/>
    <w:rsid w:val="00F30E8F"/>
    <w:rsid w:val="00F4732A"/>
    <w:rsid w:val="00F51095"/>
    <w:rsid w:val="00F53892"/>
    <w:rsid w:val="00F67B48"/>
    <w:rsid w:val="00F864B7"/>
    <w:rsid w:val="00F87665"/>
    <w:rsid w:val="00FA0A9E"/>
    <w:rsid w:val="00FA5F67"/>
    <w:rsid w:val="00FD10C3"/>
    <w:rsid w:val="00FD13E0"/>
    <w:rsid w:val="00FD1A9B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5D7039"/>
  <w15:docId w15:val="{FE9895E5-1022-4667-9737-87FDE894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uiPriority="6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409"/>
    <w:pPr>
      <w:spacing w:line="276" w:lineRule="auto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D93C2B"/>
    <w:pPr>
      <w:outlineLvl w:val="0"/>
    </w:pPr>
    <w:rPr>
      <w:b/>
      <w:sz w:val="52"/>
      <w:szCs w:val="36"/>
    </w:rPr>
  </w:style>
  <w:style w:type="paragraph" w:styleId="Heading2">
    <w:name w:val="heading 2"/>
    <w:basedOn w:val="Tableheadings"/>
    <w:next w:val="Normal"/>
    <w:link w:val="Heading2Char"/>
    <w:uiPriority w:val="3"/>
    <w:qFormat/>
    <w:rsid w:val="00820174"/>
    <w:pPr>
      <w:spacing w:before="360" w:after="220" w:line="240" w:lineRule="auto"/>
      <w:outlineLvl w:val="1"/>
    </w:pPr>
    <w:rPr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1F0156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820174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C53111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3111"/>
    <w:pPr>
      <w:tabs>
        <w:tab w:val="center" w:pos="4153"/>
        <w:tab w:val="right" w:pos="8306"/>
      </w:tabs>
    </w:pPr>
    <w:rPr>
      <w:caps/>
      <w:sz w:val="16"/>
    </w:rPr>
  </w:style>
  <w:style w:type="numbering" w:customStyle="1" w:styleId="Bulletpoints">
    <w:name w:val="Bullet points"/>
    <w:rsid w:val="00C53111"/>
    <w:pPr>
      <w:numPr>
        <w:numId w:val="10"/>
      </w:numPr>
    </w:pPr>
  </w:style>
  <w:style w:type="paragraph" w:styleId="Footer">
    <w:name w:val="footer"/>
    <w:basedOn w:val="Normal"/>
    <w:link w:val="FooterChar"/>
    <w:semiHidden/>
    <w:rsid w:val="001F0156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paragraph" w:styleId="BalloonText">
    <w:name w:val="Balloon Text"/>
    <w:basedOn w:val="Normal"/>
    <w:semiHidden/>
    <w:rsid w:val="00C53111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uiPriority w:val="12"/>
    <w:qFormat/>
    <w:rsid w:val="001F0156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semiHidden/>
    <w:rsid w:val="00B53EF6"/>
    <w:rPr>
      <w:rFonts w:ascii="Arial Bold" w:hAnsi="Arial Bold"/>
      <w:b/>
      <w:bCs/>
      <w:color w:val="595959" w:themeColor="text1" w:themeTint="A6"/>
      <w:sz w:val="16"/>
    </w:rPr>
  </w:style>
  <w:style w:type="character" w:styleId="Hyperlink">
    <w:name w:val="Hyperlink"/>
    <w:uiPriority w:val="99"/>
    <w:qFormat/>
    <w:rsid w:val="00B06F33"/>
    <w:rPr>
      <w:rFonts w:cs="Arial"/>
      <w:color w:val="1D1C73"/>
      <w:u w:val="single"/>
    </w:rPr>
  </w:style>
  <w:style w:type="paragraph" w:styleId="ListNumber">
    <w:name w:val="List Number"/>
    <w:basedOn w:val="Normal"/>
    <w:uiPriority w:val="9"/>
    <w:qFormat/>
    <w:rsid w:val="00C53111"/>
    <w:pPr>
      <w:numPr>
        <w:numId w:val="40"/>
      </w:numPr>
    </w:pPr>
  </w:style>
  <w:style w:type="table" w:customStyle="1" w:styleId="Table">
    <w:name w:val="Table"/>
    <w:basedOn w:val="TableNormal"/>
    <w:rsid w:val="00C53111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C53111"/>
    <w:pPr>
      <w:numPr>
        <w:ilvl w:val="1"/>
        <w:numId w:val="40"/>
      </w:numPr>
      <w:contextualSpacing/>
    </w:pPr>
  </w:style>
  <w:style w:type="paragraph" w:styleId="ListNumber3">
    <w:name w:val="List Number 3"/>
    <w:basedOn w:val="Normal"/>
    <w:uiPriority w:val="11"/>
    <w:qFormat/>
    <w:rsid w:val="00C53111"/>
    <w:pPr>
      <w:numPr>
        <w:ilvl w:val="2"/>
        <w:numId w:val="40"/>
      </w:numPr>
      <w:contextualSpacing/>
    </w:pPr>
  </w:style>
  <w:style w:type="paragraph" w:styleId="ListBullet">
    <w:name w:val="List Bullet"/>
    <w:basedOn w:val="Normal"/>
    <w:uiPriority w:val="6"/>
    <w:qFormat/>
    <w:rsid w:val="00C53111"/>
    <w:pPr>
      <w:numPr>
        <w:numId w:val="37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C53111"/>
  </w:style>
  <w:style w:type="character" w:customStyle="1" w:styleId="BodyTextChar">
    <w:name w:val="Body Text Char"/>
    <w:basedOn w:val="DefaultParagraphFont"/>
    <w:link w:val="BodyText"/>
    <w:rsid w:val="0004441E"/>
    <w:rPr>
      <w:rFonts w:ascii="Arial" w:hAnsi="Arial"/>
      <w:sz w:val="22"/>
      <w:szCs w:val="22"/>
    </w:rPr>
  </w:style>
  <w:style w:type="paragraph" w:styleId="ListBullet2">
    <w:name w:val="List Bullet 2"/>
    <w:basedOn w:val="Normal"/>
    <w:uiPriority w:val="7"/>
    <w:qFormat/>
    <w:rsid w:val="00C53111"/>
    <w:pPr>
      <w:numPr>
        <w:ilvl w:val="1"/>
        <w:numId w:val="37"/>
      </w:numPr>
      <w:contextualSpacing/>
    </w:pPr>
  </w:style>
  <w:style w:type="table" w:styleId="TableGrid">
    <w:name w:val="Table Grid"/>
    <w:basedOn w:val="TableNormal"/>
    <w:rsid w:val="00C5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qFormat/>
    <w:rsid w:val="00B53EF6"/>
    <w:pPr>
      <w:keepNext/>
      <w:keepLines/>
      <w:outlineLvl w:val="9"/>
    </w:pPr>
    <w:rPr>
      <w:rFonts w:ascii="Arial Bold" w:eastAsiaTheme="majorEastAsia" w:hAnsi="Arial Bold" w:cstheme="majorBidi"/>
      <w:bCs/>
      <w:i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C53111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C53111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A1185D"/>
    <w:rPr>
      <w:rFonts w:ascii="Arial" w:hAnsi="Arial"/>
      <w:color w:val="000000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C53111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1F0156"/>
    <w:pPr>
      <w:numPr>
        <w:numId w:val="33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6F1F36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6F1F36"/>
    <w:rPr>
      <w:rFonts w:eastAsiaTheme="majorEastAsia" w:cstheme="majorBidi"/>
      <w:b/>
      <w:i/>
      <w:spacing w:val="5"/>
      <w:kern w:val="28"/>
      <w:sz w:val="52"/>
      <w:szCs w:val="52"/>
    </w:rPr>
  </w:style>
  <w:style w:type="paragraph" w:styleId="ListBullet3">
    <w:name w:val="List Bullet 3"/>
    <w:basedOn w:val="Normal"/>
    <w:uiPriority w:val="8"/>
    <w:qFormat/>
    <w:rsid w:val="00C53111"/>
    <w:pPr>
      <w:numPr>
        <w:ilvl w:val="2"/>
        <w:numId w:val="37"/>
      </w:numPr>
      <w:contextualSpacing/>
    </w:pPr>
    <w:rPr>
      <w:rFonts w:cs="Arial"/>
    </w:rPr>
  </w:style>
  <w:style w:type="paragraph" w:styleId="TOC3">
    <w:name w:val="toc 3"/>
    <w:basedOn w:val="Normal"/>
    <w:next w:val="Normal"/>
    <w:autoRedefine/>
    <w:uiPriority w:val="39"/>
    <w:semiHidden/>
    <w:rsid w:val="00C53111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6A6639"/>
    <w:rPr>
      <w:i/>
      <w:sz w:val="16"/>
    </w:rPr>
  </w:style>
  <w:style w:type="table" w:styleId="Table3Deffects1">
    <w:name w:val="Table 3D effects 1"/>
    <w:basedOn w:val="TableNormal"/>
    <w:rsid w:val="006A66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9D0157"/>
    <w:rPr>
      <w:rFonts w:ascii="Arial" w:hAnsi="Arial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character" w:customStyle="1" w:styleId="FooterChar">
    <w:name w:val="Footer Char"/>
    <w:basedOn w:val="DefaultParagraphFont"/>
    <w:link w:val="Footer"/>
    <w:semiHidden/>
    <w:rsid w:val="001F0156"/>
    <w:rPr>
      <w:rFonts w:ascii="Arial" w:hAnsi="Arial"/>
      <w:color w:val="595959" w:themeColor="text1" w:themeTint="A6"/>
      <w:sz w:val="16"/>
      <w:szCs w:val="22"/>
    </w:rPr>
  </w:style>
  <w:style w:type="character" w:customStyle="1" w:styleId="Heading4Char">
    <w:name w:val="Heading 4 Char"/>
    <w:basedOn w:val="DefaultParagraphFont"/>
    <w:link w:val="Heading4"/>
    <w:uiPriority w:val="5"/>
    <w:rsid w:val="00820174"/>
    <w:rPr>
      <w:rFonts w:ascii="Arial" w:hAnsi="Arial"/>
      <w:b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4441E"/>
    <w:rPr>
      <w:rFonts w:ascii="Arial" w:eastAsiaTheme="majorEastAsia" w:hAnsi="Arial" w:cstheme="majorBidi"/>
      <w:b/>
      <w:bCs/>
      <w:color w:val="5E5E5E"/>
      <w:szCs w:val="22"/>
    </w:rPr>
  </w:style>
  <w:style w:type="character" w:customStyle="1" w:styleId="Heading1Char">
    <w:name w:val="Heading 1 Char"/>
    <w:basedOn w:val="DefaultParagraphFont"/>
    <w:link w:val="Heading1"/>
    <w:uiPriority w:val="2"/>
    <w:rsid w:val="00D93C2B"/>
    <w:rPr>
      <w:rFonts w:ascii="Arial" w:hAnsi="Arial"/>
      <w:b/>
      <w:sz w:val="52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1F0156"/>
    <w:rPr>
      <w:rFonts w:ascii="Arial" w:hAnsi="Arial"/>
      <w:b/>
      <w:sz w:val="22"/>
      <w:szCs w:val="22"/>
    </w:rPr>
  </w:style>
  <w:style w:type="table" w:customStyle="1" w:styleId="ICAEWtable1">
    <w:name w:val="ICAEW table1"/>
    <w:basedOn w:val="TableNormal"/>
    <w:uiPriority w:val="99"/>
    <w:rsid w:val="00A1185D"/>
    <w:tblPr/>
  </w:style>
  <w:style w:type="paragraph" w:styleId="ListParagraph">
    <w:name w:val="List Paragraph"/>
    <w:basedOn w:val="Normal"/>
    <w:link w:val="ListParagraphChar"/>
    <w:uiPriority w:val="34"/>
    <w:qFormat/>
    <w:rsid w:val="00D93C2B"/>
    <w:pPr>
      <w:ind w:left="720"/>
      <w:contextualSpacing/>
    </w:pPr>
  </w:style>
  <w:style w:type="table" w:styleId="PlainTable1">
    <w:name w:val="Plain Table 1"/>
    <w:basedOn w:val="TableNormal"/>
    <w:uiPriority w:val="41"/>
    <w:rsid w:val="009267AE"/>
    <w:rPr>
      <w:rFonts w:ascii="Arial" w:eastAsiaTheme="minorHAnsi" w:hAnsi="Arial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267AE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65293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65293D"/>
    <w:pPr>
      <w:spacing w:line="240" w:lineRule="auto"/>
    </w:pPr>
    <w:rPr>
      <w:rFonts w:eastAsia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semiHidden/>
    <w:rsid w:val="0065293D"/>
    <w:rPr>
      <w:rFonts w:ascii="Arial" w:hAnsi="Arial"/>
      <w:color w:val="00000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65293D"/>
    <w:rPr>
      <w:rFonts w:ascii="Arial" w:eastAsiaTheme="minorHAnsi" w:hAnsi="Arial" w:cstheme="minorBidi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293D"/>
    <w:rPr>
      <w:rFonts w:ascii="Arial" w:hAnsi="Arial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3"/>
    <w:rsid w:val="00AC0C08"/>
    <w:rPr>
      <w:rFonts w:ascii="Arial Bold" w:hAnsi="Arial Bold" w:cs="Arial"/>
      <w:b/>
      <w:caps/>
      <w:color w:val="000000"/>
      <w:sz w:val="2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D3E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0D3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icaew.com/regulation/reserved-legal-servic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icaew.com/regulation/probate-services/probate-consumer-hub/icaew-probate-register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icaew.com/regulation/probate-services/probate-consumer-hub/legal-services-compensation-scheme-arrangements" TargetMode="Externa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ccar\appdata\roaming\microsoft\templates\ICAEW\ICAEW_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6E290EA0F24C1FBAEF45B077BE2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43F6-F526-4D2C-934F-4A059FD66381}"/>
      </w:docPartPr>
      <w:docPartBody>
        <w:p w:rsidR="00C35FEF" w:rsidRDefault="00C35FEF">
          <w:r w:rsidRPr="003857D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EF"/>
    <w:rsid w:val="00214F96"/>
    <w:rsid w:val="002B387D"/>
    <w:rsid w:val="003363A6"/>
    <w:rsid w:val="003738B9"/>
    <w:rsid w:val="003D71E9"/>
    <w:rsid w:val="00455C6B"/>
    <w:rsid w:val="006A4896"/>
    <w:rsid w:val="008401F0"/>
    <w:rsid w:val="00C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FE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FE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AEW Office">
      <a:dk1>
        <a:srgbClr val="000000"/>
      </a:dk1>
      <a:lt1>
        <a:srgbClr val="FFFFFF"/>
      </a:lt1>
      <a:dk2>
        <a:srgbClr val="000000"/>
      </a:dk2>
      <a:lt2>
        <a:srgbClr val="E30613"/>
      </a:lt2>
      <a:accent1>
        <a:srgbClr val="A9C47F"/>
      </a:accent1>
      <a:accent2>
        <a:srgbClr val="6BCABA"/>
      </a:accent2>
      <a:accent3>
        <a:srgbClr val="8BD3E6"/>
      </a:accent3>
      <a:accent4>
        <a:srgbClr val="B288B9"/>
      </a:accent4>
      <a:accent5>
        <a:srgbClr val="E6A65D"/>
      </a:accent5>
      <a:accent6>
        <a:srgbClr val="D4E2B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25400">
          <a:solidFill>
            <a:srgbClr val="45513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0C09C73EC424B8C903C375634416C" ma:contentTypeVersion="12" ma:contentTypeDescription="Create a new document." ma:contentTypeScope="" ma:versionID="391b55ef4c6f760c27b34f29ff0fb497">
  <xsd:schema xmlns:xsd="http://www.w3.org/2001/XMLSchema" xmlns:xs="http://www.w3.org/2001/XMLSchema" xmlns:p="http://schemas.microsoft.com/office/2006/metadata/properties" xmlns:ns2="577a3b28-f08d-48ab-b86a-9f4dba5e7828" xmlns:ns3="2afbd50f-bc67-4ce0-80b9-39fe5fb3af1f" targetNamespace="http://schemas.microsoft.com/office/2006/metadata/properties" ma:root="true" ma:fieldsID="41e12639013808c868b394ad11b65403" ns2:_="" ns3:_="">
    <xsd:import namespace="577a3b28-f08d-48ab-b86a-9f4dba5e7828"/>
    <xsd:import namespace="2afbd50f-bc67-4ce0-80b9-39fe5fb3a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3b28-f08d-48ab-b86a-9f4dba5e7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64a743-6b44-4d12-af01-f236ac8bc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50f-bc67-4ce0-80b9-39fe5fb3a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a3b28-f08d-48ab-b86a-9f4dba5e78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15D7A-4A16-4284-8CC9-F60DD3B68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BA0F0-C5B3-4850-8096-15BF165F5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3b28-f08d-48ab-b86a-9f4dba5e7828"/>
    <ds:schemaRef ds:uri="2afbd50f-bc67-4ce0-80b9-39fe5fb3a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82D16-BFEA-46D3-AB64-E852F14800C1}">
  <ds:schemaRefs>
    <ds:schemaRef ds:uri="http://schemas.microsoft.com/office/2006/metadata/properties"/>
    <ds:schemaRef ds:uri="http://schemas.microsoft.com/office/infopath/2007/PartnerControls"/>
    <ds:schemaRef ds:uri="577a3b28-f08d-48ab-b86a-9f4dba5e7828"/>
  </ds:schemaRefs>
</ds:datastoreItem>
</file>

<file path=customXml/itemProps4.xml><?xml version="1.0" encoding="utf-8"?>
<ds:datastoreItem xmlns:ds="http://schemas.openxmlformats.org/officeDocument/2006/customXml" ds:itemID="{CC0577BA-5695-4DA4-8B73-17482BF03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ICAEW_Blank.dotm</Template>
  <TotalTime>7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ICAEW Transparency Guidance for Accredited Legal Services Firms: Template C - example complaints procedure for website</vt:lpstr>
    </vt:vector>
  </TitlesOfParts>
  <Company>ICAEW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 Transparency Guidance for Accredited Legal Services Firms: Template B - example website template for probate services</dc:title>
  <dc:creator>Elisa McCarthy</dc:creator>
  <cp:lastModifiedBy>Elisa McCarthy</cp:lastModifiedBy>
  <cp:revision>8</cp:revision>
  <cp:lastPrinted>2009-06-16T11:41:00Z</cp:lastPrinted>
  <dcterms:created xsi:type="dcterms:W3CDTF">2025-07-28T09:23:00Z</dcterms:created>
  <dcterms:modified xsi:type="dcterms:W3CDTF">2025-07-30T07:30:00Z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5a3cf6dd9f2fe9f02e045048ecf70162a4edf213d9fb549dc5aba953e8aa9fa3</vt:lpwstr>
  </property>
  <property fmtid="{D5CDD505-2E9C-101B-9397-08002B2CF9AE}" pid="3" name="ContentTypeId">
    <vt:lpwstr>0x0101001500C09C73EC424B8C903C375634416C</vt:lpwstr>
  </property>
</Properties>
</file>