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6" w:rsidRDefault="009F7766" w:rsidP="004D30D6">
      <w:pPr>
        <w:sectPr w:rsidR="009F7766" w:rsidSect="002F54B6">
          <w:headerReference w:type="default" r:id="rId8"/>
          <w:footerReference w:type="default" r:id="rId9"/>
          <w:footerReference w:type="first" r:id="rId10"/>
          <w:pgSz w:w="11909" w:h="16834" w:code="9"/>
          <w:pgMar w:top="1134" w:right="1134" w:bottom="1134" w:left="1134" w:header="284" w:footer="510" w:gutter="0"/>
          <w:cols w:space="720"/>
        </w:sectPr>
      </w:pPr>
    </w:p>
    <w:p w:rsidR="00B85370" w:rsidRDefault="00B85370" w:rsidP="00B85370">
      <w:pPr>
        <w:pStyle w:val="Heading1"/>
      </w:pPr>
    </w:p>
    <w:p w:rsidR="00B85370" w:rsidRDefault="00B85370" w:rsidP="00B85370">
      <w:pPr>
        <w:pStyle w:val="Heading1"/>
      </w:pPr>
      <w:r>
        <w:t xml:space="preserve">Schedule of amendments </w:t>
      </w:r>
    </w:p>
    <w:p w:rsidR="00B85370" w:rsidRDefault="004D0D0B" w:rsidP="00B85370">
      <w:pPr>
        <w:pStyle w:val="Heading2"/>
      </w:pPr>
      <w:r>
        <w:t xml:space="preserve">fitness </w:t>
      </w:r>
      <w:r w:rsidR="00B85370">
        <w:t>Committee Regulations</w:t>
      </w:r>
    </w:p>
    <w:p w:rsidR="00170447" w:rsidRDefault="00B85370" w:rsidP="00B85370">
      <w:pPr>
        <w:pStyle w:val="Heading2"/>
      </w:pPr>
      <w:r>
        <w:t xml:space="preserve"> – 1 June 2018</w:t>
      </w:r>
    </w:p>
    <w:p w:rsidR="006F1F36" w:rsidRDefault="006F1F36" w:rsidP="0017044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4"/>
        <w:gridCol w:w="6187"/>
      </w:tblGrid>
      <w:tr w:rsidR="00B85370" w:rsidTr="00B21314">
        <w:tc>
          <w:tcPr>
            <w:tcW w:w="3444" w:type="dxa"/>
          </w:tcPr>
          <w:p w:rsidR="00B85370" w:rsidRDefault="00B85370" w:rsidP="00B85370">
            <w:pPr>
              <w:pStyle w:val="Heading3"/>
            </w:pPr>
            <w:r>
              <w:t>Regulation</w:t>
            </w:r>
            <w:r w:rsidR="006E77C7">
              <w:t>s</w:t>
            </w:r>
          </w:p>
        </w:tc>
        <w:tc>
          <w:tcPr>
            <w:tcW w:w="6187" w:type="dxa"/>
          </w:tcPr>
          <w:p w:rsidR="00B85370" w:rsidRDefault="00B85370" w:rsidP="00B85370">
            <w:pPr>
              <w:pStyle w:val="Heading3"/>
            </w:pPr>
            <w:r>
              <w:t>Amendment</w:t>
            </w:r>
          </w:p>
        </w:tc>
      </w:tr>
      <w:tr w:rsidR="00B85370" w:rsidTr="00B21314">
        <w:tc>
          <w:tcPr>
            <w:tcW w:w="3444" w:type="dxa"/>
          </w:tcPr>
          <w:p w:rsidR="00B85370" w:rsidRDefault="00B85370" w:rsidP="00170447">
            <w:pPr>
              <w:pStyle w:val="BodyText"/>
            </w:pPr>
            <w:r>
              <w:t>1</w:t>
            </w:r>
          </w:p>
        </w:tc>
        <w:tc>
          <w:tcPr>
            <w:tcW w:w="6187" w:type="dxa"/>
          </w:tcPr>
          <w:p w:rsidR="00B85370" w:rsidRDefault="00B85370" w:rsidP="00170447">
            <w:pPr>
              <w:pStyle w:val="BodyText"/>
            </w:pPr>
            <w:r>
              <w:t>Commencement date has been updated</w:t>
            </w:r>
          </w:p>
          <w:p w:rsidR="00B85370" w:rsidRDefault="00B85370" w:rsidP="00170447">
            <w:pPr>
              <w:pStyle w:val="BodyText"/>
            </w:pPr>
          </w:p>
        </w:tc>
      </w:tr>
      <w:tr w:rsidR="00A6356C" w:rsidTr="00B21314">
        <w:tc>
          <w:tcPr>
            <w:tcW w:w="3444" w:type="dxa"/>
          </w:tcPr>
          <w:p w:rsidR="00A6356C" w:rsidRDefault="00A6356C" w:rsidP="00170447">
            <w:pPr>
              <w:pStyle w:val="BodyText"/>
            </w:pPr>
            <w:r>
              <w:t>3</w:t>
            </w:r>
          </w:p>
        </w:tc>
        <w:tc>
          <w:tcPr>
            <w:tcW w:w="6187" w:type="dxa"/>
          </w:tcPr>
          <w:p w:rsidR="00A6356C" w:rsidRDefault="00A6356C" w:rsidP="00B364B5">
            <w:pPr>
              <w:pStyle w:val="BodyText"/>
            </w:pPr>
            <w:r>
              <w:t xml:space="preserve">References to ‘member or provisional member’ in this and subsequent regulations have been replaced with ‘respondent’ to capture other </w:t>
            </w:r>
            <w:r w:rsidR="00B364B5">
              <w:t xml:space="preserve">types </w:t>
            </w:r>
            <w:r>
              <w:t>of respondent under the Disciplinary Bye-laws (i.e. Foundation Qualification Holders, Provisional Foundation Qualification Holders and CFAB students).</w:t>
            </w:r>
          </w:p>
          <w:p w:rsidR="00A6356C" w:rsidRDefault="00A6356C" w:rsidP="00170447">
            <w:pPr>
              <w:pStyle w:val="BodyText"/>
            </w:pPr>
          </w:p>
        </w:tc>
      </w:tr>
      <w:tr w:rsidR="00A6356C" w:rsidTr="00B21314">
        <w:tc>
          <w:tcPr>
            <w:tcW w:w="3444" w:type="dxa"/>
          </w:tcPr>
          <w:p w:rsidR="00A6356C" w:rsidRDefault="00A6356C" w:rsidP="00170447">
            <w:pPr>
              <w:pStyle w:val="BodyText"/>
            </w:pPr>
            <w:r>
              <w:t>4</w:t>
            </w:r>
          </w:p>
        </w:tc>
        <w:tc>
          <w:tcPr>
            <w:tcW w:w="6187" w:type="dxa"/>
          </w:tcPr>
          <w:p w:rsidR="00A6356C" w:rsidRDefault="00A6356C" w:rsidP="00A6356C">
            <w:pPr>
              <w:pStyle w:val="BodyText"/>
            </w:pPr>
            <w:r>
              <w:t>New definitions inserted for ‘CFAB student’, ‘contracted firm’, ‘Foundation Qualification Holder’, ‘member firm’, ‘PCD Committee Secretary’, ‘Provisional Foundation Qualification Holder’, ‘regulated firm’ and ‘respondent’.</w:t>
            </w:r>
          </w:p>
          <w:p w:rsidR="00A6356C" w:rsidRDefault="00A6356C" w:rsidP="00A6356C">
            <w:pPr>
              <w:pStyle w:val="BodyText"/>
            </w:pPr>
          </w:p>
          <w:p w:rsidR="00A6356C" w:rsidRDefault="00A6356C" w:rsidP="00A6356C">
            <w:pPr>
              <w:pStyle w:val="BodyText"/>
            </w:pPr>
            <w:r>
              <w:t xml:space="preserve">Amended definitions for ‘Disciplinary Bye-laws’, ‘hearing’, ‘panel’, ‘parties’ and ‘written record of decision’. </w:t>
            </w:r>
          </w:p>
          <w:p w:rsidR="00A6356C" w:rsidRDefault="00A6356C" w:rsidP="00A6356C">
            <w:pPr>
              <w:pStyle w:val="BodyText"/>
            </w:pPr>
          </w:p>
          <w:p w:rsidR="00A6356C" w:rsidRDefault="00A6356C" w:rsidP="00A6356C">
            <w:pPr>
              <w:pStyle w:val="BodyText"/>
            </w:pPr>
            <w:r>
              <w:t>Definition of ‘legal assessor’ has been deleted.</w:t>
            </w:r>
          </w:p>
          <w:p w:rsidR="00A6356C" w:rsidRDefault="00A6356C" w:rsidP="00A6356C">
            <w:pPr>
              <w:pStyle w:val="BodyText"/>
            </w:pPr>
          </w:p>
        </w:tc>
      </w:tr>
      <w:tr w:rsidR="00A6356C" w:rsidTr="00B21314">
        <w:tc>
          <w:tcPr>
            <w:tcW w:w="3444" w:type="dxa"/>
          </w:tcPr>
          <w:p w:rsidR="00A6356C" w:rsidRDefault="00A6356C" w:rsidP="00170447">
            <w:pPr>
              <w:pStyle w:val="BodyText"/>
            </w:pPr>
            <w:r>
              <w:t>9</w:t>
            </w:r>
          </w:p>
        </w:tc>
        <w:tc>
          <w:tcPr>
            <w:tcW w:w="6187" w:type="dxa"/>
          </w:tcPr>
          <w:p w:rsidR="00A6356C" w:rsidRDefault="00A6356C" w:rsidP="00F145CD">
            <w:pPr>
              <w:pStyle w:val="BodyText"/>
            </w:pPr>
            <w:r>
              <w:t xml:space="preserve">Reference to ‘panel chair’ has been replaced with ‘PCD Committee Secretary’; the PCD Committee Secretary may </w:t>
            </w:r>
            <w:r w:rsidR="00F145CD">
              <w:t xml:space="preserve">now </w:t>
            </w:r>
            <w:bookmarkStart w:id="0" w:name="_GoBack"/>
            <w:bookmarkEnd w:id="0"/>
            <w:r>
              <w:t xml:space="preserve">determine an application for a postponement of a hearing which has yet to commence. </w:t>
            </w:r>
          </w:p>
          <w:p w:rsidR="005A2072" w:rsidRDefault="005A2072" w:rsidP="00A6356C">
            <w:pPr>
              <w:pStyle w:val="BodyText"/>
            </w:pPr>
          </w:p>
        </w:tc>
      </w:tr>
      <w:tr w:rsidR="005A2072" w:rsidTr="00B21314">
        <w:tc>
          <w:tcPr>
            <w:tcW w:w="3444" w:type="dxa"/>
          </w:tcPr>
          <w:p w:rsidR="005A2072" w:rsidRDefault="005A2072" w:rsidP="00170447">
            <w:pPr>
              <w:pStyle w:val="BodyText"/>
            </w:pPr>
            <w:r>
              <w:t>10</w:t>
            </w:r>
          </w:p>
        </w:tc>
        <w:tc>
          <w:tcPr>
            <w:tcW w:w="6187" w:type="dxa"/>
          </w:tcPr>
          <w:p w:rsidR="005A2072" w:rsidRDefault="005A2072" w:rsidP="00A6356C">
            <w:pPr>
              <w:pStyle w:val="BodyText"/>
            </w:pPr>
            <w:r>
              <w:t>Amended to clarify that the PCD Committee Secretary shall give ICAEW a reasonable opportunity to respond to any documents served by the respondent.</w:t>
            </w:r>
          </w:p>
          <w:p w:rsidR="005A2072" w:rsidRDefault="005A2072" w:rsidP="00A6356C">
            <w:pPr>
              <w:pStyle w:val="BodyText"/>
            </w:pPr>
          </w:p>
          <w:p w:rsidR="005A2072" w:rsidRDefault="005A2072" w:rsidP="00A6356C">
            <w:pPr>
              <w:pStyle w:val="BodyText"/>
            </w:pPr>
            <w:r>
              <w:t xml:space="preserve">Reference to ‘member or provisional member’ has been replaced with ‘respondent’. </w:t>
            </w:r>
          </w:p>
          <w:p w:rsidR="005A2072" w:rsidRDefault="005A2072" w:rsidP="00A6356C">
            <w:pPr>
              <w:pStyle w:val="BodyText"/>
            </w:pPr>
          </w:p>
        </w:tc>
      </w:tr>
      <w:tr w:rsidR="005A2072" w:rsidTr="00B21314">
        <w:tc>
          <w:tcPr>
            <w:tcW w:w="3444" w:type="dxa"/>
          </w:tcPr>
          <w:p w:rsidR="005A2072" w:rsidRDefault="005A2072" w:rsidP="005A2072">
            <w:pPr>
              <w:pStyle w:val="BodyText"/>
            </w:pPr>
            <w:r>
              <w:t>11, 13, 14, 15, 18 and 21</w:t>
            </w:r>
          </w:p>
        </w:tc>
        <w:tc>
          <w:tcPr>
            <w:tcW w:w="6187" w:type="dxa"/>
          </w:tcPr>
          <w:p w:rsidR="005A2072" w:rsidRDefault="005A2072" w:rsidP="005A2072">
            <w:pPr>
              <w:pStyle w:val="BodyText"/>
            </w:pPr>
            <w:r>
              <w:t>Reference</w:t>
            </w:r>
            <w:r>
              <w:t>s</w:t>
            </w:r>
            <w:r>
              <w:t xml:space="preserve"> to ‘member or provisional member’</w:t>
            </w:r>
            <w:r>
              <w:t xml:space="preserve"> have</w:t>
            </w:r>
            <w:r>
              <w:t xml:space="preserve"> been replaced with ‘respondent’. </w:t>
            </w:r>
          </w:p>
          <w:p w:rsidR="005A2072" w:rsidRDefault="005A2072" w:rsidP="005A2072">
            <w:pPr>
              <w:pStyle w:val="BodyText"/>
            </w:pPr>
          </w:p>
          <w:p w:rsidR="005A2072" w:rsidRDefault="005A2072" w:rsidP="005A2072">
            <w:pPr>
              <w:pStyle w:val="BodyText"/>
            </w:pPr>
            <w:r>
              <w:t>Drafting has been made gender neutral.</w:t>
            </w:r>
          </w:p>
        </w:tc>
      </w:tr>
      <w:tr w:rsidR="005A2072" w:rsidTr="00B21314">
        <w:tc>
          <w:tcPr>
            <w:tcW w:w="3444" w:type="dxa"/>
          </w:tcPr>
          <w:p w:rsidR="005A2072" w:rsidRDefault="005A2072" w:rsidP="005A2072">
            <w:pPr>
              <w:pStyle w:val="BodyText"/>
            </w:pPr>
            <w:r>
              <w:t>23</w:t>
            </w:r>
          </w:p>
        </w:tc>
        <w:tc>
          <w:tcPr>
            <w:tcW w:w="6187" w:type="dxa"/>
          </w:tcPr>
          <w:p w:rsidR="005A2072" w:rsidRDefault="005A2072" w:rsidP="005A2072">
            <w:pPr>
              <w:pStyle w:val="BodyText"/>
            </w:pPr>
            <w:r>
              <w:t xml:space="preserve">Reference to ‘member or provisional member’ has been replaced with ‘respondent’. </w:t>
            </w:r>
          </w:p>
          <w:p w:rsidR="005A2072" w:rsidRDefault="005A2072" w:rsidP="005A2072">
            <w:pPr>
              <w:pStyle w:val="BodyText"/>
            </w:pPr>
          </w:p>
          <w:p w:rsidR="005A2072" w:rsidRDefault="005A2072" w:rsidP="005A2072">
            <w:pPr>
              <w:pStyle w:val="BodyText"/>
            </w:pPr>
            <w:r>
              <w:t>Reference to the ‘written record of decision’ has been updated.</w:t>
            </w:r>
          </w:p>
          <w:p w:rsidR="005A2072" w:rsidRDefault="005A2072" w:rsidP="005A2072">
            <w:pPr>
              <w:pStyle w:val="BodyText"/>
            </w:pPr>
          </w:p>
        </w:tc>
      </w:tr>
      <w:tr w:rsidR="005A2072" w:rsidTr="00B21314">
        <w:tc>
          <w:tcPr>
            <w:tcW w:w="3444" w:type="dxa"/>
          </w:tcPr>
          <w:p w:rsidR="005A2072" w:rsidRDefault="005A2072" w:rsidP="005A2072">
            <w:pPr>
              <w:pStyle w:val="BodyText"/>
            </w:pPr>
            <w:r>
              <w:t>24</w:t>
            </w:r>
          </w:p>
        </w:tc>
        <w:tc>
          <w:tcPr>
            <w:tcW w:w="6187" w:type="dxa"/>
          </w:tcPr>
          <w:p w:rsidR="005A2072" w:rsidRDefault="005A2072" w:rsidP="005A2072">
            <w:pPr>
              <w:pStyle w:val="BodyText"/>
            </w:pPr>
            <w:r>
              <w:t xml:space="preserve">Amended to enable the disclosure of confidential material or information in connection with the proceedings to insurers or to principals in firms in which the respondent is a principal or employee. </w:t>
            </w:r>
          </w:p>
          <w:p w:rsidR="005A2072" w:rsidRDefault="005A2072" w:rsidP="005A2072">
            <w:pPr>
              <w:pStyle w:val="BodyText"/>
            </w:pPr>
          </w:p>
        </w:tc>
      </w:tr>
      <w:tr w:rsidR="005A2072" w:rsidTr="00B21314">
        <w:tc>
          <w:tcPr>
            <w:tcW w:w="3444" w:type="dxa"/>
          </w:tcPr>
          <w:p w:rsidR="005A2072" w:rsidRDefault="005A2072" w:rsidP="005A2072">
            <w:pPr>
              <w:pStyle w:val="BodyText"/>
            </w:pPr>
            <w:r>
              <w:t>25</w:t>
            </w:r>
          </w:p>
        </w:tc>
        <w:tc>
          <w:tcPr>
            <w:tcW w:w="6187" w:type="dxa"/>
          </w:tcPr>
          <w:p w:rsidR="005A2072" w:rsidRDefault="005A2072" w:rsidP="005A2072">
            <w:pPr>
              <w:pStyle w:val="BodyText"/>
            </w:pPr>
            <w:r>
              <w:t xml:space="preserve">New regulation to clarify the minimum length of time an order of the Fitness Committee will remain published on ICAEW’s website. </w:t>
            </w:r>
          </w:p>
          <w:p w:rsidR="005A2072" w:rsidRDefault="005A2072" w:rsidP="005A2072">
            <w:pPr>
              <w:pStyle w:val="BodyText"/>
            </w:pPr>
          </w:p>
        </w:tc>
      </w:tr>
    </w:tbl>
    <w:p w:rsidR="00AF091C" w:rsidRDefault="00AF091C" w:rsidP="00170447">
      <w:pPr>
        <w:pStyle w:val="BodyText"/>
      </w:pPr>
    </w:p>
    <w:p w:rsidR="00AF091C" w:rsidRDefault="00AF091C" w:rsidP="00170447">
      <w:pPr>
        <w:pStyle w:val="BodyText"/>
      </w:pPr>
      <w:r>
        <w:t>31.05.18</w:t>
      </w:r>
    </w:p>
    <w:sectPr w:rsidR="00AF091C" w:rsidSect="002F54B6">
      <w:headerReference w:type="default" r:id="rId11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70" w:rsidRDefault="00B85370">
      <w:r>
        <w:separator/>
      </w:r>
    </w:p>
  </w:endnote>
  <w:endnote w:type="continuationSeparator" w:id="0">
    <w:p w:rsidR="00B85370" w:rsidRDefault="00B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F" w:rsidRDefault="00D359CF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53EF6" w:rsidRDefault="00D359CF" w:rsidP="00FF1F98">
          <w:pPr>
            <w:pStyle w:val="Footer"/>
          </w:pPr>
        </w:p>
        <w:p w:rsidR="00D359CF" w:rsidRPr="00953929" w:rsidRDefault="00F145CD" w:rsidP="00FF1F98">
          <w:pPr>
            <w:pStyle w:val="Footer"/>
            <w:rPr>
              <w:b/>
              <w:sz w:val="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5370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62098" w:rsidRDefault="00D359CF" w:rsidP="00FF1F98">
          <w:pPr>
            <w:pStyle w:val="Footer"/>
            <w:jc w:val="right"/>
          </w:pPr>
        </w:p>
        <w:p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F145C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145CD">
            <w:fldChar w:fldCharType="begin"/>
          </w:r>
          <w:r w:rsidR="00F145CD">
            <w:instrText xml:space="preserve"> numpages </w:instrText>
          </w:r>
          <w:r w:rsidR="00F145CD">
            <w:fldChar w:fldCharType="separate"/>
          </w:r>
          <w:r w:rsidR="00F145CD">
            <w:rPr>
              <w:noProof/>
            </w:rPr>
            <w:t>2</w:t>
          </w:r>
          <w:r w:rsidR="00F145CD">
            <w:rPr>
              <w:noProof/>
            </w:rPr>
            <w:fldChar w:fldCharType="end"/>
          </w:r>
        </w:p>
      </w:tc>
    </w:tr>
  </w:tbl>
  <w:p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rPr>
              <w:sz w:val="8"/>
            </w:rPr>
          </w:pPr>
        </w:p>
        <w:p w:rsidR="00C53111" w:rsidRPr="00953929" w:rsidRDefault="004A2AFF" w:rsidP="0056655D">
          <w:pPr>
            <w:pStyle w:val="Footer"/>
            <w:rPr>
              <w:b/>
              <w:sz w:val="8"/>
            </w:rPr>
          </w:pPr>
          <w:fldSimple w:instr=" FILENAME   \* MERGEFORMAT ">
            <w:r w:rsidR="00B85370">
              <w:rPr>
                <w:noProof/>
              </w:rPr>
              <w:t>Document2</w:t>
            </w:r>
          </w:fldSimple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145CD">
            <w:fldChar w:fldCharType="begin"/>
          </w:r>
          <w:r w:rsidR="00F145CD">
            <w:instrText xml:space="preserve"> numpages </w:instrText>
          </w:r>
          <w:r w:rsidR="00F145CD">
            <w:fldChar w:fldCharType="separate"/>
          </w:r>
          <w:r w:rsidR="00B85370">
            <w:rPr>
              <w:noProof/>
            </w:rPr>
            <w:t>1</w:t>
          </w:r>
          <w:r w:rsidR="00F145CD">
            <w:rPr>
              <w:noProof/>
            </w:rPr>
            <w:fldChar w:fldCharType="end"/>
          </w:r>
        </w:p>
      </w:tc>
    </w:tr>
  </w:tbl>
  <w:p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70" w:rsidRDefault="00B85370">
      <w:r>
        <w:separator/>
      </w:r>
    </w:p>
  </w:footnote>
  <w:footnote w:type="continuationSeparator" w:id="0">
    <w:p w:rsidR="00B85370" w:rsidRDefault="00B8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6533B3B8" wp14:editId="0B8284FF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0"/>
    <w:rsid w:val="0000291A"/>
    <w:rsid w:val="00011714"/>
    <w:rsid w:val="0002207F"/>
    <w:rsid w:val="00022A49"/>
    <w:rsid w:val="00036B83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0D1F"/>
    <w:rsid w:val="00096107"/>
    <w:rsid w:val="00096FC2"/>
    <w:rsid w:val="000A6655"/>
    <w:rsid w:val="000C3A49"/>
    <w:rsid w:val="000C5154"/>
    <w:rsid w:val="000D353A"/>
    <w:rsid w:val="000E1A9C"/>
    <w:rsid w:val="000E21C5"/>
    <w:rsid w:val="000E738D"/>
    <w:rsid w:val="00100726"/>
    <w:rsid w:val="00121C59"/>
    <w:rsid w:val="00122D1C"/>
    <w:rsid w:val="00125AF8"/>
    <w:rsid w:val="00131D9D"/>
    <w:rsid w:val="00132E24"/>
    <w:rsid w:val="00135EF5"/>
    <w:rsid w:val="00142C7B"/>
    <w:rsid w:val="0014394F"/>
    <w:rsid w:val="00170447"/>
    <w:rsid w:val="001859E0"/>
    <w:rsid w:val="00191962"/>
    <w:rsid w:val="00196302"/>
    <w:rsid w:val="001A3DD0"/>
    <w:rsid w:val="001A6D7B"/>
    <w:rsid w:val="001B1995"/>
    <w:rsid w:val="001B381C"/>
    <w:rsid w:val="001D16DD"/>
    <w:rsid w:val="001D4A17"/>
    <w:rsid w:val="001F0156"/>
    <w:rsid w:val="002043BD"/>
    <w:rsid w:val="00223027"/>
    <w:rsid w:val="00231332"/>
    <w:rsid w:val="0023202B"/>
    <w:rsid w:val="00244E1E"/>
    <w:rsid w:val="00262519"/>
    <w:rsid w:val="00266693"/>
    <w:rsid w:val="002673B6"/>
    <w:rsid w:val="00270CC3"/>
    <w:rsid w:val="00274DF6"/>
    <w:rsid w:val="002778C8"/>
    <w:rsid w:val="002801A6"/>
    <w:rsid w:val="002B3ACC"/>
    <w:rsid w:val="002B72FC"/>
    <w:rsid w:val="002C6D24"/>
    <w:rsid w:val="002D77F5"/>
    <w:rsid w:val="002F54B6"/>
    <w:rsid w:val="00301A7F"/>
    <w:rsid w:val="00310CE5"/>
    <w:rsid w:val="00314C5F"/>
    <w:rsid w:val="00322535"/>
    <w:rsid w:val="00351EE2"/>
    <w:rsid w:val="00371A42"/>
    <w:rsid w:val="003756B5"/>
    <w:rsid w:val="00375790"/>
    <w:rsid w:val="00380268"/>
    <w:rsid w:val="0039400A"/>
    <w:rsid w:val="003B183E"/>
    <w:rsid w:val="003B2AB5"/>
    <w:rsid w:val="003B6065"/>
    <w:rsid w:val="003C4D3E"/>
    <w:rsid w:val="003D27B7"/>
    <w:rsid w:val="003E2BE0"/>
    <w:rsid w:val="003F733A"/>
    <w:rsid w:val="004077FD"/>
    <w:rsid w:val="0042424F"/>
    <w:rsid w:val="00430E4E"/>
    <w:rsid w:val="00443D8F"/>
    <w:rsid w:val="00455DE7"/>
    <w:rsid w:val="0046302A"/>
    <w:rsid w:val="004633EB"/>
    <w:rsid w:val="004954BC"/>
    <w:rsid w:val="004A2AFF"/>
    <w:rsid w:val="004A452F"/>
    <w:rsid w:val="004A5AA0"/>
    <w:rsid w:val="004B3764"/>
    <w:rsid w:val="004C59F1"/>
    <w:rsid w:val="004D0D0B"/>
    <w:rsid w:val="004D30D6"/>
    <w:rsid w:val="004E2941"/>
    <w:rsid w:val="004F2309"/>
    <w:rsid w:val="004F41DD"/>
    <w:rsid w:val="004F799E"/>
    <w:rsid w:val="00501458"/>
    <w:rsid w:val="005105E7"/>
    <w:rsid w:val="00523671"/>
    <w:rsid w:val="0052510B"/>
    <w:rsid w:val="005279C7"/>
    <w:rsid w:val="005459E1"/>
    <w:rsid w:val="0054793D"/>
    <w:rsid w:val="005617A0"/>
    <w:rsid w:val="005630D6"/>
    <w:rsid w:val="0057083A"/>
    <w:rsid w:val="005806CD"/>
    <w:rsid w:val="005A2072"/>
    <w:rsid w:val="005A7E6A"/>
    <w:rsid w:val="005C0AF5"/>
    <w:rsid w:val="005C3841"/>
    <w:rsid w:val="005D2263"/>
    <w:rsid w:val="005E2C23"/>
    <w:rsid w:val="005E76A8"/>
    <w:rsid w:val="00602D54"/>
    <w:rsid w:val="00635029"/>
    <w:rsid w:val="006547A7"/>
    <w:rsid w:val="006669C4"/>
    <w:rsid w:val="00692D4B"/>
    <w:rsid w:val="00696621"/>
    <w:rsid w:val="006A6639"/>
    <w:rsid w:val="006B6887"/>
    <w:rsid w:val="006C36DB"/>
    <w:rsid w:val="006D3ED7"/>
    <w:rsid w:val="006E3BC3"/>
    <w:rsid w:val="006E77C7"/>
    <w:rsid w:val="006F1F36"/>
    <w:rsid w:val="006F6EF8"/>
    <w:rsid w:val="00706FD2"/>
    <w:rsid w:val="00711119"/>
    <w:rsid w:val="007252B9"/>
    <w:rsid w:val="0074301A"/>
    <w:rsid w:val="00772BFB"/>
    <w:rsid w:val="007869A1"/>
    <w:rsid w:val="007B37DD"/>
    <w:rsid w:val="007C2077"/>
    <w:rsid w:val="007C4544"/>
    <w:rsid w:val="007C7F52"/>
    <w:rsid w:val="007D02FF"/>
    <w:rsid w:val="007D5BEC"/>
    <w:rsid w:val="00814B30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52D"/>
    <w:rsid w:val="008D6BDF"/>
    <w:rsid w:val="008D7527"/>
    <w:rsid w:val="008E0C43"/>
    <w:rsid w:val="008E72F4"/>
    <w:rsid w:val="00904A73"/>
    <w:rsid w:val="009454AA"/>
    <w:rsid w:val="00946C98"/>
    <w:rsid w:val="00951987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428AC"/>
    <w:rsid w:val="00A4660B"/>
    <w:rsid w:val="00A574DD"/>
    <w:rsid w:val="00A57C9F"/>
    <w:rsid w:val="00A6356C"/>
    <w:rsid w:val="00A7500C"/>
    <w:rsid w:val="00A814AF"/>
    <w:rsid w:val="00A828F0"/>
    <w:rsid w:val="00A95004"/>
    <w:rsid w:val="00A95355"/>
    <w:rsid w:val="00A96947"/>
    <w:rsid w:val="00AB4D8B"/>
    <w:rsid w:val="00AF091C"/>
    <w:rsid w:val="00AF4A0D"/>
    <w:rsid w:val="00B03BD7"/>
    <w:rsid w:val="00B1488D"/>
    <w:rsid w:val="00B21314"/>
    <w:rsid w:val="00B22F3D"/>
    <w:rsid w:val="00B2678F"/>
    <w:rsid w:val="00B364B5"/>
    <w:rsid w:val="00B446CF"/>
    <w:rsid w:val="00B53EF6"/>
    <w:rsid w:val="00B60C4C"/>
    <w:rsid w:val="00B7719A"/>
    <w:rsid w:val="00B84DB6"/>
    <w:rsid w:val="00B85370"/>
    <w:rsid w:val="00B87430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24E1A"/>
    <w:rsid w:val="00C44E9A"/>
    <w:rsid w:val="00C53111"/>
    <w:rsid w:val="00C55667"/>
    <w:rsid w:val="00C64680"/>
    <w:rsid w:val="00C7048D"/>
    <w:rsid w:val="00C70E98"/>
    <w:rsid w:val="00C71B00"/>
    <w:rsid w:val="00C837C3"/>
    <w:rsid w:val="00C844B1"/>
    <w:rsid w:val="00C87E8D"/>
    <w:rsid w:val="00C90AC1"/>
    <w:rsid w:val="00C93B9C"/>
    <w:rsid w:val="00C94D19"/>
    <w:rsid w:val="00CC28A3"/>
    <w:rsid w:val="00CD5131"/>
    <w:rsid w:val="00D0057B"/>
    <w:rsid w:val="00D10BD3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A5036"/>
    <w:rsid w:val="00DD5301"/>
    <w:rsid w:val="00E010F9"/>
    <w:rsid w:val="00E35EF9"/>
    <w:rsid w:val="00E447FC"/>
    <w:rsid w:val="00E60A96"/>
    <w:rsid w:val="00E60B2C"/>
    <w:rsid w:val="00E951EB"/>
    <w:rsid w:val="00EA6075"/>
    <w:rsid w:val="00EA78CC"/>
    <w:rsid w:val="00EC14C0"/>
    <w:rsid w:val="00EC4B79"/>
    <w:rsid w:val="00ED3D13"/>
    <w:rsid w:val="00EE2126"/>
    <w:rsid w:val="00EE6B2C"/>
    <w:rsid w:val="00EF421E"/>
    <w:rsid w:val="00EF7C74"/>
    <w:rsid w:val="00F00A33"/>
    <w:rsid w:val="00F019A3"/>
    <w:rsid w:val="00F1102D"/>
    <w:rsid w:val="00F145CD"/>
    <w:rsid w:val="00F238CD"/>
    <w:rsid w:val="00F30E8F"/>
    <w:rsid w:val="00F41F45"/>
    <w:rsid w:val="00F447F3"/>
    <w:rsid w:val="00F4732A"/>
    <w:rsid w:val="00F51095"/>
    <w:rsid w:val="00F53892"/>
    <w:rsid w:val="00F723AA"/>
    <w:rsid w:val="00F87665"/>
    <w:rsid w:val="00FA5F67"/>
    <w:rsid w:val="00FD10C3"/>
    <w:rsid w:val="00FD13E0"/>
    <w:rsid w:val="00FD1A9B"/>
    <w:rsid w:val="00FF244C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151E72-701C-400C-9E12-47AB80E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table" w:styleId="TableGridLight">
    <w:name w:val="Grid Table Light"/>
    <w:basedOn w:val="TableNormal"/>
    <w:uiPriority w:val="40"/>
    <w:rsid w:val="00B853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1974-92DE-441B-AFFC-04E60290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2</Pages>
  <Words>268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Claire Phillips</dc:creator>
  <cp:lastModifiedBy>Claire Phillips</cp:lastModifiedBy>
  <cp:revision>12</cp:revision>
  <cp:lastPrinted>2009-06-16T11:41:00Z</cp:lastPrinted>
  <dcterms:created xsi:type="dcterms:W3CDTF">2018-05-31T20:17:00Z</dcterms:created>
  <dcterms:modified xsi:type="dcterms:W3CDTF">2018-05-31T20:40:00Z</dcterms:modified>
</cp:coreProperties>
</file>