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66" w:rsidRDefault="009F7766" w:rsidP="004D30D6">
      <w:pPr>
        <w:sectPr w:rsidR="009F7766" w:rsidSect="002F54B6">
          <w:headerReference w:type="default" r:id="rId8"/>
          <w:footerReference w:type="default" r:id="rId9"/>
          <w:footerReference w:type="first" r:id="rId10"/>
          <w:pgSz w:w="11909" w:h="16834" w:code="9"/>
          <w:pgMar w:top="1134" w:right="1134" w:bottom="1134" w:left="1134" w:header="284" w:footer="510" w:gutter="0"/>
          <w:cols w:space="720"/>
        </w:sectPr>
      </w:pPr>
    </w:p>
    <w:p w:rsidR="00B85370" w:rsidRDefault="00B85370" w:rsidP="00B85370">
      <w:pPr>
        <w:pStyle w:val="Heading1"/>
      </w:pPr>
    </w:p>
    <w:p w:rsidR="00B85370" w:rsidRDefault="00B85370" w:rsidP="00B85370">
      <w:pPr>
        <w:pStyle w:val="Heading1"/>
      </w:pPr>
      <w:r>
        <w:t xml:space="preserve">Schedule of amendments </w:t>
      </w:r>
    </w:p>
    <w:p w:rsidR="00B85370" w:rsidRDefault="00B85370" w:rsidP="00B85370">
      <w:pPr>
        <w:pStyle w:val="Heading2"/>
      </w:pPr>
      <w:r>
        <w:t>Investigation Committee Regulations</w:t>
      </w:r>
    </w:p>
    <w:p w:rsidR="00170447" w:rsidRDefault="00B85370" w:rsidP="00B85370">
      <w:pPr>
        <w:pStyle w:val="Heading2"/>
      </w:pPr>
      <w:r>
        <w:t xml:space="preserve"> – 1 June 2018</w:t>
      </w:r>
    </w:p>
    <w:p w:rsidR="006F1F36" w:rsidRDefault="006F1F36" w:rsidP="00170447">
      <w:pPr>
        <w:pStyle w:val="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4"/>
        <w:gridCol w:w="6187"/>
      </w:tblGrid>
      <w:tr w:rsidR="00B85370" w:rsidTr="00B85370">
        <w:tc>
          <w:tcPr>
            <w:tcW w:w="3510" w:type="dxa"/>
          </w:tcPr>
          <w:p w:rsidR="00B85370" w:rsidRDefault="00B85370" w:rsidP="00B85370">
            <w:pPr>
              <w:pStyle w:val="Heading3"/>
            </w:pPr>
            <w:r>
              <w:t>Regulation</w:t>
            </w:r>
            <w:r w:rsidR="006E77C7">
              <w:t>s</w:t>
            </w:r>
          </w:p>
        </w:tc>
        <w:tc>
          <w:tcPr>
            <w:tcW w:w="6347" w:type="dxa"/>
          </w:tcPr>
          <w:p w:rsidR="00B85370" w:rsidRDefault="00B85370" w:rsidP="00B85370">
            <w:pPr>
              <w:pStyle w:val="Heading3"/>
            </w:pPr>
            <w:r>
              <w:t>Amendment</w:t>
            </w:r>
          </w:p>
        </w:tc>
      </w:tr>
      <w:tr w:rsidR="00B85370" w:rsidTr="00B85370">
        <w:tc>
          <w:tcPr>
            <w:tcW w:w="3510" w:type="dxa"/>
          </w:tcPr>
          <w:p w:rsidR="00B85370" w:rsidRDefault="00B85370" w:rsidP="00170447">
            <w:pPr>
              <w:pStyle w:val="BodyText"/>
            </w:pPr>
            <w:r>
              <w:t>1</w:t>
            </w:r>
          </w:p>
        </w:tc>
        <w:tc>
          <w:tcPr>
            <w:tcW w:w="6347" w:type="dxa"/>
          </w:tcPr>
          <w:p w:rsidR="00B85370" w:rsidRDefault="00B85370" w:rsidP="00170447">
            <w:pPr>
              <w:pStyle w:val="BodyText"/>
            </w:pPr>
            <w:r>
              <w:t>Commencement date has been updated</w:t>
            </w:r>
          </w:p>
          <w:p w:rsidR="00B85370" w:rsidRDefault="00B85370" w:rsidP="00170447">
            <w:pPr>
              <w:pStyle w:val="BodyText"/>
            </w:pPr>
          </w:p>
        </w:tc>
      </w:tr>
      <w:tr w:rsidR="00B85370" w:rsidTr="00B85370">
        <w:tc>
          <w:tcPr>
            <w:tcW w:w="3510" w:type="dxa"/>
          </w:tcPr>
          <w:p w:rsidR="00B85370" w:rsidRDefault="00B85370" w:rsidP="00170447">
            <w:pPr>
              <w:pStyle w:val="BodyText"/>
            </w:pPr>
            <w:r>
              <w:t>2</w:t>
            </w:r>
          </w:p>
        </w:tc>
        <w:tc>
          <w:tcPr>
            <w:tcW w:w="6347" w:type="dxa"/>
          </w:tcPr>
          <w:p w:rsidR="00B85370" w:rsidRDefault="00B85370" w:rsidP="00170447">
            <w:pPr>
              <w:pStyle w:val="BodyText"/>
            </w:pPr>
            <w:r>
              <w:t>New definitions inserted for ‘committee’ and ‘Disciplinary Bye-laws’; amendments to the definitions of ‘PCD director’ and ‘ICAEW’.</w:t>
            </w:r>
          </w:p>
          <w:p w:rsidR="00B85370" w:rsidRDefault="00B85370" w:rsidP="00170447">
            <w:pPr>
              <w:pStyle w:val="BodyText"/>
            </w:pPr>
          </w:p>
        </w:tc>
      </w:tr>
      <w:tr w:rsidR="00B85370" w:rsidTr="00B85370">
        <w:tc>
          <w:tcPr>
            <w:tcW w:w="3510" w:type="dxa"/>
          </w:tcPr>
          <w:p w:rsidR="00B85370" w:rsidRDefault="00B85370" w:rsidP="00170447">
            <w:pPr>
              <w:pStyle w:val="BodyText"/>
            </w:pPr>
            <w:r>
              <w:t>3</w:t>
            </w:r>
          </w:p>
        </w:tc>
        <w:tc>
          <w:tcPr>
            <w:tcW w:w="6347" w:type="dxa"/>
          </w:tcPr>
          <w:p w:rsidR="00B85370" w:rsidRDefault="00B85370" w:rsidP="00170447">
            <w:pPr>
              <w:pStyle w:val="BodyText"/>
            </w:pPr>
            <w:r>
              <w:t>Reference to ‘director’ has been replaced with ‘PCD director’</w:t>
            </w:r>
            <w:r w:rsidR="00223027">
              <w:t xml:space="preserve"> for completeness</w:t>
            </w:r>
            <w:r>
              <w:t>.</w:t>
            </w:r>
          </w:p>
          <w:p w:rsidR="00B85370" w:rsidRDefault="00B85370" w:rsidP="00170447">
            <w:pPr>
              <w:pStyle w:val="BodyText"/>
            </w:pPr>
          </w:p>
        </w:tc>
      </w:tr>
      <w:tr w:rsidR="00B85370" w:rsidTr="00B85370">
        <w:tc>
          <w:tcPr>
            <w:tcW w:w="3510" w:type="dxa"/>
          </w:tcPr>
          <w:p w:rsidR="00B85370" w:rsidRDefault="00B85370" w:rsidP="00170447">
            <w:pPr>
              <w:pStyle w:val="BodyText"/>
            </w:pPr>
            <w:r>
              <w:t>4</w:t>
            </w:r>
          </w:p>
        </w:tc>
        <w:tc>
          <w:tcPr>
            <w:tcW w:w="6347" w:type="dxa"/>
          </w:tcPr>
          <w:p w:rsidR="00B85370" w:rsidRDefault="00B85370" w:rsidP="002300F3">
            <w:pPr>
              <w:pStyle w:val="BodyText"/>
            </w:pPr>
            <w:r>
              <w:t xml:space="preserve">References to ‘chairman’ in this and subsequent regulations have been replaced with ‘chair’ to make the regulations gender neutral; </w:t>
            </w:r>
            <w:r w:rsidR="00223027">
              <w:t xml:space="preserve">similarly, </w:t>
            </w:r>
            <w:r w:rsidR="002300F3">
              <w:t xml:space="preserve">the male pronoun has </w:t>
            </w:r>
            <w:r w:rsidR="00223027">
              <w:t xml:space="preserve">been </w:t>
            </w:r>
            <w:r>
              <w:t>replaced by ‘he / she’</w:t>
            </w:r>
            <w:r w:rsidR="00223027">
              <w:t xml:space="preserve"> etc.</w:t>
            </w:r>
          </w:p>
          <w:p w:rsidR="006E77C7" w:rsidRDefault="006E77C7" w:rsidP="00170447">
            <w:pPr>
              <w:pStyle w:val="BodyText"/>
            </w:pPr>
          </w:p>
        </w:tc>
      </w:tr>
      <w:tr w:rsidR="00B85370" w:rsidTr="00B85370">
        <w:tc>
          <w:tcPr>
            <w:tcW w:w="3510" w:type="dxa"/>
          </w:tcPr>
          <w:p w:rsidR="00B85370" w:rsidRDefault="006E77C7" w:rsidP="00170447">
            <w:pPr>
              <w:pStyle w:val="BodyText"/>
            </w:pPr>
            <w:r>
              <w:t>5</w:t>
            </w:r>
          </w:p>
        </w:tc>
        <w:tc>
          <w:tcPr>
            <w:tcW w:w="6347" w:type="dxa"/>
          </w:tcPr>
          <w:p w:rsidR="00B85370" w:rsidRDefault="006E77C7" w:rsidP="006E77C7">
            <w:pPr>
              <w:pStyle w:val="BodyText"/>
            </w:pPr>
            <w:r>
              <w:t>References to ‘member’ in this and subsequent regulations have been replaced with ‘respondent or respondent firm’ to mirror the language of the Disciplinary Bye-laws (DBLs) and capture other categories of respondent.</w:t>
            </w:r>
          </w:p>
          <w:p w:rsidR="006E77C7" w:rsidRDefault="006E77C7" w:rsidP="00170447">
            <w:pPr>
              <w:pStyle w:val="BodyText"/>
            </w:pPr>
          </w:p>
        </w:tc>
      </w:tr>
      <w:tr w:rsidR="00B85370" w:rsidTr="00B85370">
        <w:tc>
          <w:tcPr>
            <w:tcW w:w="3510" w:type="dxa"/>
          </w:tcPr>
          <w:p w:rsidR="00B85370" w:rsidRDefault="006E77C7" w:rsidP="00170447">
            <w:pPr>
              <w:pStyle w:val="BodyText"/>
            </w:pPr>
            <w:r>
              <w:t>8</w:t>
            </w:r>
          </w:p>
        </w:tc>
        <w:tc>
          <w:tcPr>
            <w:tcW w:w="6347" w:type="dxa"/>
          </w:tcPr>
          <w:p w:rsidR="00B85370" w:rsidRDefault="006E77C7" w:rsidP="00170447">
            <w:pPr>
              <w:pStyle w:val="BodyText"/>
            </w:pPr>
            <w:r>
              <w:t xml:space="preserve">Reference to ‘Secretary’ has been replaced by ‘PCD Committee Secretary’ </w:t>
            </w:r>
            <w:r w:rsidR="00E60B2C">
              <w:t xml:space="preserve">in this and subsequent regulations </w:t>
            </w:r>
            <w:r>
              <w:t>for completeness.</w:t>
            </w:r>
          </w:p>
          <w:p w:rsidR="006E77C7" w:rsidRDefault="006E77C7" w:rsidP="00170447">
            <w:pPr>
              <w:pStyle w:val="BodyText"/>
            </w:pPr>
          </w:p>
        </w:tc>
      </w:tr>
      <w:tr w:rsidR="00B85370" w:rsidTr="00B85370">
        <w:tc>
          <w:tcPr>
            <w:tcW w:w="3510" w:type="dxa"/>
          </w:tcPr>
          <w:p w:rsidR="00B85370" w:rsidRDefault="006E77C7" w:rsidP="00170447">
            <w:pPr>
              <w:pStyle w:val="BodyText"/>
            </w:pPr>
            <w:r>
              <w:t>10 and 11</w:t>
            </w:r>
          </w:p>
        </w:tc>
        <w:tc>
          <w:tcPr>
            <w:tcW w:w="6347" w:type="dxa"/>
          </w:tcPr>
          <w:p w:rsidR="00B85370" w:rsidRDefault="006E77C7" w:rsidP="006E77C7">
            <w:pPr>
              <w:pStyle w:val="BodyText"/>
            </w:pPr>
            <w:r>
              <w:t xml:space="preserve">References to ‘member, firm or provisional member’ </w:t>
            </w:r>
            <w:r w:rsidR="002459BD">
              <w:t xml:space="preserve">in </w:t>
            </w:r>
            <w:r>
              <w:t>these and subsequent regulations have been replaced with ‘respondent or respondent firm’ to mirror the language of the DBLs and capture other categories of respondent;</w:t>
            </w:r>
          </w:p>
          <w:p w:rsidR="006E77C7" w:rsidRDefault="006E77C7" w:rsidP="00170447">
            <w:pPr>
              <w:pStyle w:val="BodyText"/>
            </w:pPr>
          </w:p>
          <w:p w:rsidR="006E77C7" w:rsidRDefault="006E77C7" w:rsidP="00AF091C">
            <w:pPr>
              <w:pStyle w:val="BodyText"/>
            </w:pPr>
            <w:r>
              <w:t>References to ‘staff’ have been replaced with ‘PCD staff’ for completeness.</w:t>
            </w:r>
          </w:p>
          <w:p w:rsidR="006E77C7" w:rsidRDefault="006E77C7" w:rsidP="00170447">
            <w:pPr>
              <w:pStyle w:val="BodyText"/>
            </w:pPr>
          </w:p>
        </w:tc>
      </w:tr>
      <w:tr w:rsidR="006E77C7" w:rsidTr="00B85370">
        <w:tc>
          <w:tcPr>
            <w:tcW w:w="3510" w:type="dxa"/>
          </w:tcPr>
          <w:p w:rsidR="006E77C7" w:rsidRDefault="006E77C7" w:rsidP="00170447">
            <w:pPr>
              <w:pStyle w:val="BodyText"/>
            </w:pPr>
            <w:r>
              <w:t>12</w:t>
            </w:r>
          </w:p>
        </w:tc>
        <w:tc>
          <w:tcPr>
            <w:tcW w:w="6347" w:type="dxa"/>
          </w:tcPr>
          <w:p w:rsidR="006E77C7" w:rsidRDefault="006E77C7" w:rsidP="006E77C7">
            <w:pPr>
              <w:pStyle w:val="BodyText"/>
            </w:pPr>
            <w:r>
              <w:t>Reference</w:t>
            </w:r>
            <w:r w:rsidR="0000291A">
              <w:t>s</w:t>
            </w:r>
            <w:r>
              <w:t xml:space="preserve"> to ‘director’ </w:t>
            </w:r>
            <w:r w:rsidR="00AF091C">
              <w:t>and ‘staff’ have</w:t>
            </w:r>
            <w:r>
              <w:t xml:space="preserve"> been replaced </w:t>
            </w:r>
            <w:r w:rsidR="00AF091C">
              <w:t xml:space="preserve">respectively </w:t>
            </w:r>
            <w:r>
              <w:t xml:space="preserve">with ‘PCD director’ </w:t>
            </w:r>
            <w:r w:rsidR="00AF091C">
              <w:t xml:space="preserve">and ‘PCD staff’ </w:t>
            </w:r>
            <w:r>
              <w:t xml:space="preserve">for completeness; </w:t>
            </w:r>
          </w:p>
          <w:p w:rsidR="006E77C7" w:rsidRDefault="006E77C7" w:rsidP="006E77C7">
            <w:pPr>
              <w:pStyle w:val="BodyText"/>
            </w:pPr>
          </w:p>
          <w:p w:rsidR="006E77C7" w:rsidRDefault="006E77C7" w:rsidP="0000291A">
            <w:pPr>
              <w:pStyle w:val="BodyText"/>
            </w:pPr>
            <w:r>
              <w:lastRenderedPageBreak/>
              <w:t>References to ‘member, member firm, regulated firm or provisional member’ have been replaced with ‘respondent or respondent firm’ to mirror the language of the DBLs and capture</w:t>
            </w:r>
            <w:r w:rsidR="0000291A">
              <w:t xml:space="preserve"> other categories of respondent.</w:t>
            </w:r>
          </w:p>
          <w:p w:rsidR="00AF091C" w:rsidRDefault="00AF091C" w:rsidP="0000291A">
            <w:pPr>
              <w:pStyle w:val="BodyText"/>
            </w:pPr>
          </w:p>
        </w:tc>
      </w:tr>
      <w:tr w:rsidR="0000291A" w:rsidTr="00B85370">
        <w:tc>
          <w:tcPr>
            <w:tcW w:w="3510" w:type="dxa"/>
          </w:tcPr>
          <w:p w:rsidR="0000291A" w:rsidRDefault="0000291A" w:rsidP="00170447">
            <w:pPr>
              <w:pStyle w:val="BodyText"/>
            </w:pPr>
            <w:r>
              <w:lastRenderedPageBreak/>
              <w:t>13</w:t>
            </w:r>
          </w:p>
        </w:tc>
        <w:tc>
          <w:tcPr>
            <w:tcW w:w="6347" w:type="dxa"/>
          </w:tcPr>
          <w:p w:rsidR="0000291A" w:rsidRDefault="0000291A" w:rsidP="006E77C7">
            <w:pPr>
              <w:pStyle w:val="BodyText"/>
            </w:pPr>
            <w:r>
              <w:t>Minor drafting amendments to the regula</w:t>
            </w:r>
            <w:r w:rsidR="00AF091C">
              <w:t xml:space="preserve">tion have been made for clarity; </w:t>
            </w:r>
          </w:p>
          <w:p w:rsidR="00AF091C" w:rsidRDefault="00AF091C" w:rsidP="006E77C7">
            <w:pPr>
              <w:pStyle w:val="BodyText"/>
            </w:pPr>
          </w:p>
          <w:p w:rsidR="00AF091C" w:rsidRDefault="00AF091C" w:rsidP="006E77C7">
            <w:pPr>
              <w:pStyle w:val="BodyText"/>
            </w:pPr>
            <w:r>
              <w:t xml:space="preserve">Reference to ‘firm, provisional member or member’ has been replaced with ‘respondent or respondent firm’. </w:t>
            </w:r>
          </w:p>
          <w:p w:rsidR="0000291A" w:rsidRDefault="0000291A" w:rsidP="006E77C7">
            <w:pPr>
              <w:pStyle w:val="BodyText"/>
            </w:pPr>
          </w:p>
        </w:tc>
      </w:tr>
      <w:tr w:rsidR="0000291A" w:rsidTr="00B85370">
        <w:tc>
          <w:tcPr>
            <w:tcW w:w="3510" w:type="dxa"/>
          </w:tcPr>
          <w:p w:rsidR="0000291A" w:rsidRDefault="0000291A" w:rsidP="00170447">
            <w:pPr>
              <w:pStyle w:val="BodyText"/>
            </w:pPr>
            <w:r>
              <w:t>13A and 13B</w:t>
            </w:r>
          </w:p>
        </w:tc>
        <w:tc>
          <w:tcPr>
            <w:tcW w:w="6347" w:type="dxa"/>
          </w:tcPr>
          <w:p w:rsidR="0000291A" w:rsidRDefault="0000291A" w:rsidP="00AF091C">
            <w:pPr>
              <w:pStyle w:val="BodyText"/>
            </w:pPr>
            <w:r>
              <w:t xml:space="preserve">New regulations inserted to clarify the procedure </w:t>
            </w:r>
            <w:r w:rsidR="00AF091C">
              <w:t xml:space="preserve">to apply </w:t>
            </w:r>
            <w:r>
              <w:t>in cases where complaints are pleaded in the alternative and comprise multiple parts.</w:t>
            </w:r>
          </w:p>
          <w:p w:rsidR="0000291A" w:rsidRDefault="0000291A" w:rsidP="006E77C7">
            <w:pPr>
              <w:pStyle w:val="BodyText"/>
            </w:pPr>
          </w:p>
        </w:tc>
      </w:tr>
      <w:tr w:rsidR="0000291A" w:rsidTr="00B85370">
        <w:tc>
          <w:tcPr>
            <w:tcW w:w="3510" w:type="dxa"/>
          </w:tcPr>
          <w:p w:rsidR="0000291A" w:rsidRDefault="00E60B2C" w:rsidP="00170447">
            <w:pPr>
              <w:pStyle w:val="BodyText"/>
            </w:pPr>
            <w:r>
              <w:t>13C</w:t>
            </w:r>
          </w:p>
        </w:tc>
        <w:tc>
          <w:tcPr>
            <w:tcW w:w="6347" w:type="dxa"/>
          </w:tcPr>
          <w:p w:rsidR="0000291A" w:rsidRDefault="00E60B2C" w:rsidP="006E77C7">
            <w:pPr>
              <w:pStyle w:val="BodyText"/>
            </w:pPr>
            <w:r>
              <w:t>Reference to ‘</w:t>
            </w:r>
            <w:r w:rsidR="00CC28A3">
              <w:t xml:space="preserve">Committee </w:t>
            </w:r>
            <w:r>
              <w:t xml:space="preserve">Secretary’ has been replaced with ‘PCD Committee Secretary’. </w:t>
            </w:r>
          </w:p>
          <w:p w:rsidR="00E60B2C" w:rsidRDefault="00E60B2C" w:rsidP="006E77C7">
            <w:pPr>
              <w:pStyle w:val="BodyText"/>
            </w:pPr>
          </w:p>
        </w:tc>
      </w:tr>
      <w:tr w:rsidR="00E60B2C" w:rsidTr="00B85370">
        <w:tc>
          <w:tcPr>
            <w:tcW w:w="3510" w:type="dxa"/>
          </w:tcPr>
          <w:p w:rsidR="00E60B2C" w:rsidRDefault="00E60B2C" w:rsidP="00170447">
            <w:pPr>
              <w:pStyle w:val="BodyText"/>
            </w:pPr>
            <w:r>
              <w:t>14 and 15</w:t>
            </w:r>
          </w:p>
        </w:tc>
        <w:tc>
          <w:tcPr>
            <w:tcW w:w="6347" w:type="dxa"/>
          </w:tcPr>
          <w:p w:rsidR="00E60B2C" w:rsidRDefault="00E60B2C" w:rsidP="006E77C7">
            <w:pPr>
              <w:pStyle w:val="BodyText"/>
            </w:pPr>
            <w:r>
              <w:t>References to ‘director’ have been replaced with ‘PCD director’ for completeness.</w:t>
            </w:r>
          </w:p>
          <w:p w:rsidR="00E60B2C" w:rsidRDefault="00E60B2C" w:rsidP="006E77C7">
            <w:pPr>
              <w:pStyle w:val="BodyText"/>
            </w:pPr>
          </w:p>
        </w:tc>
      </w:tr>
      <w:tr w:rsidR="00E60B2C" w:rsidTr="00B85370">
        <w:tc>
          <w:tcPr>
            <w:tcW w:w="3510" w:type="dxa"/>
          </w:tcPr>
          <w:p w:rsidR="00E60B2C" w:rsidRDefault="00E60B2C" w:rsidP="00170447">
            <w:pPr>
              <w:pStyle w:val="BodyText"/>
            </w:pPr>
            <w:r>
              <w:t>16</w:t>
            </w:r>
          </w:p>
        </w:tc>
        <w:tc>
          <w:tcPr>
            <w:tcW w:w="6347" w:type="dxa"/>
          </w:tcPr>
          <w:p w:rsidR="00E60B2C" w:rsidRDefault="00E60B2C" w:rsidP="006E77C7">
            <w:pPr>
              <w:pStyle w:val="BodyText"/>
            </w:pPr>
            <w:r>
              <w:t>Reference to ‘Designated Professional Body Handbook’ has been replaced with ‘Designated Professional Body (Investment Business) Handbook.</w:t>
            </w:r>
          </w:p>
          <w:p w:rsidR="00E60B2C" w:rsidRDefault="00E60B2C" w:rsidP="006E77C7">
            <w:pPr>
              <w:pStyle w:val="BodyText"/>
            </w:pPr>
          </w:p>
        </w:tc>
      </w:tr>
      <w:tr w:rsidR="00E60B2C" w:rsidTr="00B85370">
        <w:tc>
          <w:tcPr>
            <w:tcW w:w="3510" w:type="dxa"/>
          </w:tcPr>
          <w:p w:rsidR="00E60B2C" w:rsidRDefault="00E60B2C" w:rsidP="00170447">
            <w:pPr>
              <w:pStyle w:val="BodyText"/>
            </w:pPr>
            <w:r>
              <w:t>17</w:t>
            </w:r>
          </w:p>
        </w:tc>
        <w:tc>
          <w:tcPr>
            <w:tcW w:w="6347" w:type="dxa"/>
          </w:tcPr>
          <w:p w:rsidR="00E60B2C" w:rsidRDefault="00E60B2C" w:rsidP="006E77C7">
            <w:pPr>
              <w:pStyle w:val="BodyText"/>
            </w:pPr>
            <w:r>
              <w:t xml:space="preserve">Regulation 17 has been deleted and the subsequent regulations have been re-numbered accordingly. </w:t>
            </w:r>
          </w:p>
          <w:p w:rsidR="00E60B2C" w:rsidRDefault="00E60B2C" w:rsidP="006E77C7">
            <w:pPr>
              <w:pStyle w:val="BodyText"/>
            </w:pPr>
          </w:p>
        </w:tc>
      </w:tr>
      <w:tr w:rsidR="00E60B2C" w:rsidTr="00B85370">
        <w:tc>
          <w:tcPr>
            <w:tcW w:w="3510" w:type="dxa"/>
          </w:tcPr>
          <w:p w:rsidR="00E60B2C" w:rsidRDefault="00CC28A3" w:rsidP="00170447">
            <w:pPr>
              <w:pStyle w:val="BodyText"/>
            </w:pPr>
            <w:r>
              <w:t>(Renumbered) 17</w:t>
            </w:r>
          </w:p>
        </w:tc>
        <w:tc>
          <w:tcPr>
            <w:tcW w:w="6347" w:type="dxa"/>
          </w:tcPr>
          <w:p w:rsidR="00E60B2C" w:rsidRDefault="00CC28A3" w:rsidP="006E77C7">
            <w:pPr>
              <w:pStyle w:val="BodyText"/>
            </w:pPr>
            <w:r>
              <w:t xml:space="preserve">Reference to ‘Committee Secretary’ has been replaced with ‘PCD Committee Secretary’. </w:t>
            </w:r>
          </w:p>
          <w:p w:rsidR="00CC28A3" w:rsidRDefault="00CC28A3" w:rsidP="006E77C7">
            <w:pPr>
              <w:pStyle w:val="BodyText"/>
            </w:pPr>
          </w:p>
        </w:tc>
      </w:tr>
      <w:tr w:rsidR="00CC28A3" w:rsidTr="00B85370">
        <w:tc>
          <w:tcPr>
            <w:tcW w:w="3510" w:type="dxa"/>
          </w:tcPr>
          <w:p w:rsidR="00CC28A3" w:rsidRDefault="00CC28A3" w:rsidP="00170447">
            <w:pPr>
              <w:pStyle w:val="BodyText"/>
            </w:pPr>
            <w:r>
              <w:t>(Former) 19</w:t>
            </w:r>
          </w:p>
        </w:tc>
        <w:tc>
          <w:tcPr>
            <w:tcW w:w="6347" w:type="dxa"/>
          </w:tcPr>
          <w:p w:rsidR="00CC28A3" w:rsidRDefault="00CC28A3" w:rsidP="006E77C7">
            <w:pPr>
              <w:pStyle w:val="BodyText"/>
            </w:pPr>
            <w:r>
              <w:t>Former regulation 19 has been deleted.</w:t>
            </w:r>
          </w:p>
          <w:p w:rsidR="00CC28A3" w:rsidRDefault="00CC28A3" w:rsidP="006E77C7">
            <w:pPr>
              <w:pStyle w:val="BodyText"/>
            </w:pPr>
          </w:p>
        </w:tc>
      </w:tr>
      <w:tr w:rsidR="00CC28A3" w:rsidTr="00B85370">
        <w:tc>
          <w:tcPr>
            <w:tcW w:w="3510" w:type="dxa"/>
          </w:tcPr>
          <w:p w:rsidR="00CC28A3" w:rsidRDefault="006B6887" w:rsidP="00170447">
            <w:pPr>
              <w:pStyle w:val="BodyText"/>
            </w:pPr>
            <w:r>
              <w:t>(Renumbered) 18</w:t>
            </w:r>
          </w:p>
        </w:tc>
        <w:tc>
          <w:tcPr>
            <w:tcW w:w="6347" w:type="dxa"/>
          </w:tcPr>
          <w:p w:rsidR="00CC28A3" w:rsidRDefault="006B6887" w:rsidP="006E77C7">
            <w:pPr>
              <w:pStyle w:val="BodyText"/>
            </w:pPr>
            <w:r>
              <w:t>References to ‘Committee Secretary’ have been replaced with ‘PCD Committee Secretary’.</w:t>
            </w:r>
          </w:p>
          <w:p w:rsidR="006B6887" w:rsidRDefault="006B6887" w:rsidP="006E77C7">
            <w:pPr>
              <w:pStyle w:val="BodyText"/>
            </w:pPr>
          </w:p>
        </w:tc>
      </w:tr>
      <w:tr w:rsidR="006B6887" w:rsidTr="00B85370">
        <w:tc>
          <w:tcPr>
            <w:tcW w:w="3510" w:type="dxa"/>
          </w:tcPr>
          <w:p w:rsidR="006B6887" w:rsidRDefault="006B6887" w:rsidP="00170447">
            <w:pPr>
              <w:pStyle w:val="BodyText"/>
            </w:pPr>
            <w:r>
              <w:t>(Renumbered) 20</w:t>
            </w:r>
          </w:p>
        </w:tc>
        <w:tc>
          <w:tcPr>
            <w:tcW w:w="6347" w:type="dxa"/>
          </w:tcPr>
          <w:p w:rsidR="006B6887" w:rsidRDefault="006B6887" w:rsidP="006E77C7">
            <w:pPr>
              <w:pStyle w:val="BodyText"/>
            </w:pPr>
            <w:r>
              <w:t xml:space="preserve">Reference to ‘member, provisional member or firm’ has been replaced with ‘respondent or respondent firm’. </w:t>
            </w:r>
          </w:p>
          <w:p w:rsidR="006B6887" w:rsidRDefault="006B6887" w:rsidP="006E77C7">
            <w:pPr>
              <w:pStyle w:val="BodyText"/>
            </w:pPr>
          </w:p>
          <w:p w:rsidR="006B6887" w:rsidRDefault="006B6887" w:rsidP="006E77C7">
            <w:pPr>
              <w:pStyle w:val="BodyText"/>
            </w:pPr>
            <w:r>
              <w:t>Cross-reference to former regulation 19 has been deleted.</w:t>
            </w:r>
          </w:p>
          <w:p w:rsidR="006B6887" w:rsidRDefault="006B6887" w:rsidP="006E77C7">
            <w:pPr>
              <w:pStyle w:val="BodyText"/>
            </w:pPr>
          </w:p>
        </w:tc>
      </w:tr>
      <w:tr w:rsidR="006B6887" w:rsidTr="00B85370">
        <w:tc>
          <w:tcPr>
            <w:tcW w:w="3510" w:type="dxa"/>
          </w:tcPr>
          <w:p w:rsidR="006B6887" w:rsidRDefault="006B6887" w:rsidP="00170447">
            <w:pPr>
              <w:pStyle w:val="BodyText"/>
            </w:pPr>
            <w:r>
              <w:t>(Renumbered) 21</w:t>
            </w:r>
          </w:p>
        </w:tc>
        <w:tc>
          <w:tcPr>
            <w:tcW w:w="6347" w:type="dxa"/>
          </w:tcPr>
          <w:p w:rsidR="006B6887" w:rsidRDefault="006B6887" w:rsidP="006E77C7">
            <w:pPr>
              <w:pStyle w:val="BodyText"/>
            </w:pPr>
            <w:r>
              <w:t>Reference to ICAEW’s Fee Arbitration Scheme in paragraph b) has been deleted.</w:t>
            </w:r>
          </w:p>
          <w:p w:rsidR="006B6887" w:rsidRDefault="006B6887" w:rsidP="006E77C7">
            <w:pPr>
              <w:pStyle w:val="BodyText"/>
            </w:pPr>
          </w:p>
        </w:tc>
      </w:tr>
      <w:tr w:rsidR="006B6887" w:rsidTr="00B85370">
        <w:tc>
          <w:tcPr>
            <w:tcW w:w="3510" w:type="dxa"/>
          </w:tcPr>
          <w:p w:rsidR="006B6887" w:rsidRDefault="006B6887" w:rsidP="00170447">
            <w:pPr>
              <w:pStyle w:val="BodyText"/>
            </w:pPr>
            <w:r>
              <w:t>(Renumbered 22)</w:t>
            </w:r>
          </w:p>
        </w:tc>
        <w:tc>
          <w:tcPr>
            <w:tcW w:w="6347" w:type="dxa"/>
          </w:tcPr>
          <w:p w:rsidR="006B6887" w:rsidRDefault="006B6887" w:rsidP="006E77C7">
            <w:pPr>
              <w:pStyle w:val="BodyText"/>
            </w:pPr>
            <w:r>
              <w:t xml:space="preserve">Reference to ‘member’ has been replaced with ‘respondent / respondent firm’. </w:t>
            </w:r>
          </w:p>
          <w:p w:rsidR="006B6887" w:rsidRDefault="006B6887" w:rsidP="006E77C7">
            <w:pPr>
              <w:pStyle w:val="BodyText"/>
            </w:pPr>
          </w:p>
          <w:p w:rsidR="006B6887" w:rsidRDefault="006B6887" w:rsidP="00AF091C">
            <w:pPr>
              <w:pStyle w:val="BodyText"/>
            </w:pPr>
            <w:r>
              <w:t xml:space="preserve">Reference to ‘director’ has been replaced with ‘PCD director’. </w:t>
            </w:r>
          </w:p>
        </w:tc>
      </w:tr>
      <w:tr w:rsidR="006B6887" w:rsidTr="00B85370">
        <w:tc>
          <w:tcPr>
            <w:tcW w:w="3510" w:type="dxa"/>
          </w:tcPr>
          <w:p w:rsidR="006B6887" w:rsidRDefault="006B6887" w:rsidP="00170447">
            <w:pPr>
              <w:pStyle w:val="BodyText"/>
            </w:pPr>
            <w:r>
              <w:lastRenderedPageBreak/>
              <w:t>(Renumbered) 23</w:t>
            </w:r>
          </w:p>
        </w:tc>
        <w:tc>
          <w:tcPr>
            <w:tcW w:w="6347" w:type="dxa"/>
          </w:tcPr>
          <w:p w:rsidR="006B6887" w:rsidRDefault="006B6887" w:rsidP="006E77C7">
            <w:pPr>
              <w:pStyle w:val="BodyText"/>
            </w:pPr>
            <w:r>
              <w:t xml:space="preserve">Minor drafting amendments and paragraph a) concerning the quorum requirements for the committee for complaints arising under the Probate Regulations has been deleted. </w:t>
            </w:r>
          </w:p>
          <w:p w:rsidR="006B6887" w:rsidRDefault="006B6887" w:rsidP="006E77C7">
            <w:pPr>
              <w:pStyle w:val="BodyText"/>
            </w:pPr>
          </w:p>
        </w:tc>
      </w:tr>
      <w:tr w:rsidR="006B6887" w:rsidTr="00B85370">
        <w:tc>
          <w:tcPr>
            <w:tcW w:w="3510" w:type="dxa"/>
          </w:tcPr>
          <w:p w:rsidR="006B6887" w:rsidRDefault="006B6887" w:rsidP="00170447">
            <w:pPr>
              <w:pStyle w:val="BodyText"/>
            </w:pPr>
            <w:r>
              <w:t>Regulation 24</w:t>
            </w:r>
          </w:p>
        </w:tc>
        <w:tc>
          <w:tcPr>
            <w:tcW w:w="6347" w:type="dxa"/>
          </w:tcPr>
          <w:p w:rsidR="006B6887" w:rsidRDefault="006B6887" w:rsidP="006E77C7">
            <w:pPr>
              <w:pStyle w:val="BodyText"/>
            </w:pPr>
            <w:r>
              <w:t xml:space="preserve">New regulation governing the length of time consent orders shall remain published on ICAEW’s website. </w:t>
            </w:r>
          </w:p>
          <w:p w:rsidR="00CB0BF5" w:rsidRDefault="00CB0BF5" w:rsidP="006E77C7">
            <w:pPr>
              <w:pStyle w:val="BodyText"/>
            </w:pPr>
          </w:p>
        </w:tc>
      </w:tr>
      <w:tr w:rsidR="00CB0BF5" w:rsidTr="00B85370">
        <w:tc>
          <w:tcPr>
            <w:tcW w:w="3510" w:type="dxa"/>
          </w:tcPr>
          <w:p w:rsidR="00CB0BF5" w:rsidRDefault="00CB0BF5" w:rsidP="00170447">
            <w:pPr>
              <w:pStyle w:val="BodyText"/>
            </w:pPr>
            <w:r>
              <w:t>Schedules I and II</w:t>
            </w:r>
          </w:p>
        </w:tc>
        <w:tc>
          <w:tcPr>
            <w:tcW w:w="6347" w:type="dxa"/>
          </w:tcPr>
          <w:p w:rsidR="00CB0BF5" w:rsidRDefault="00CB0BF5" w:rsidP="006E77C7">
            <w:pPr>
              <w:pStyle w:val="BodyText"/>
            </w:pPr>
            <w:r>
              <w:t>Deleted</w:t>
            </w:r>
            <w:bookmarkStart w:id="0" w:name="_GoBack"/>
            <w:bookmarkEnd w:id="0"/>
          </w:p>
        </w:tc>
      </w:tr>
    </w:tbl>
    <w:p w:rsidR="00AF091C" w:rsidRDefault="00AF091C" w:rsidP="00170447">
      <w:pPr>
        <w:pStyle w:val="BodyText"/>
      </w:pPr>
    </w:p>
    <w:p w:rsidR="00AF091C" w:rsidRDefault="00AF091C" w:rsidP="00170447">
      <w:pPr>
        <w:pStyle w:val="BodyText"/>
      </w:pPr>
      <w:r>
        <w:t>31.05.18</w:t>
      </w:r>
    </w:p>
    <w:sectPr w:rsidR="00AF091C" w:rsidSect="002F54B6">
      <w:headerReference w:type="default" r:id="rId11"/>
      <w:type w:val="continuous"/>
      <w:pgSz w:w="11909" w:h="16834" w:code="9"/>
      <w:pgMar w:top="1134" w:right="1134" w:bottom="1134" w:left="1134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70" w:rsidRDefault="00B85370">
      <w:r>
        <w:separator/>
      </w:r>
    </w:p>
  </w:endnote>
  <w:endnote w:type="continuationSeparator" w:id="0">
    <w:p w:rsidR="00B85370" w:rsidRDefault="00B8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CF" w:rsidRDefault="00D359CF" w:rsidP="00D359CF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D359CF" w:rsidRPr="00824549" w:rsidTr="00FF1F98">
      <w:tc>
        <w:tcPr>
          <w:tcW w:w="4815" w:type="dxa"/>
          <w:tcBorders>
            <w:top w:val="single" w:sz="4" w:space="0" w:color="E30613" w:themeColor="background2"/>
          </w:tcBorders>
          <w:shd w:val="clear" w:color="auto" w:fill="auto"/>
        </w:tcPr>
        <w:p w:rsidR="00D359CF" w:rsidRPr="00B53EF6" w:rsidRDefault="00D359CF" w:rsidP="00FF1F98">
          <w:pPr>
            <w:pStyle w:val="Footer"/>
          </w:pPr>
        </w:p>
        <w:p w:rsidR="00D359CF" w:rsidRPr="00953929" w:rsidRDefault="002459BD" w:rsidP="00FF1F98">
          <w:pPr>
            <w:pStyle w:val="Footer"/>
            <w:rPr>
              <w:b/>
              <w:sz w:val="8"/>
            </w:rPr>
          </w:pPr>
          <w:fldSimple w:instr=" FILENAME   \* MERGEFORMAT ">
            <w:r w:rsidR="00B85370">
              <w:rPr>
                <w:noProof/>
              </w:rPr>
              <w:t>Document2</w:t>
            </w:r>
          </w:fldSimple>
        </w:p>
      </w:tc>
      <w:tc>
        <w:tcPr>
          <w:tcW w:w="4816" w:type="dxa"/>
          <w:tcBorders>
            <w:top w:val="single" w:sz="4" w:space="0" w:color="E30613" w:themeColor="background2"/>
          </w:tcBorders>
          <w:shd w:val="clear" w:color="auto" w:fill="auto"/>
        </w:tcPr>
        <w:p w:rsidR="00D359CF" w:rsidRPr="00B62098" w:rsidRDefault="00D359CF" w:rsidP="00FF1F98">
          <w:pPr>
            <w:pStyle w:val="Footer"/>
            <w:jc w:val="right"/>
          </w:pPr>
        </w:p>
        <w:p w:rsidR="00D359CF" w:rsidRPr="005E6231" w:rsidRDefault="00D359CF" w:rsidP="00FF1F98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CB0BF5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B0BF5">
              <w:rPr>
                <w:noProof/>
              </w:rPr>
              <w:t>3</w:t>
            </w:r>
          </w:fldSimple>
        </w:p>
      </w:tc>
    </w:tr>
  </w:tbl>
  <w:p w:rsidR="00C53111" w:rsidRPr="00B53EF6" w:rsidRDefault="00C53111" w:rsidP="00D35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11" w:rsidRDefault="00C53111" w:rsidP="00C53111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53111" w:rsidRPr="00824549" w:rsidTr="0056655D">
      <w:tc>
        <w:tcPr>
          <w:tcW w:w="4815" w:type="dxa"/>
          <w:tcBorders>
            <w:top w:val="single" w:sz="4" w:space="0" w:color="E30613" w:themeColor="background2"/>
          </w:tcBorders>
          <w:shd w:val="clear" w:color="auto" w:fill="auto"/>
        </w:tcPr>
        <w:p w:rsidR="00C53111" w:rsidRPr="00953929" w:rsidRDefault="00C53111" w:rsidP="0056655D">
          <w:pPr>
            <w:pStyle w:val="Footer"/>
            <w:rPr>
              <w:sz w:val="8"/>
            </w:rPr>
          </w:pPr>
        </w:p>
        <w:p w:rsidR="00C53111" w:rsidRPr="00953929" w:rsidRDefault="00CB0BF5" w:rsidP="0056655D">
          <w:pPr>
            <w:pStyle w:val="Footer"/>
            <w:rPr>
              <w:b/>
              <w:sz w:val="8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B85370">
            <w:rPr>
              <w:noProof/>
            </w:rPr>
            <w:t>Document2</w:t>
          </w:r>
          <w:r>
            <w:rPr>
              <w:noProof/>
            </w:rPr>
            <w:fldChar w:fldCharType="end"/>
          </w:r>
        </w:p>
      </w:tc>
      <w:tc>
        <w:tcPr>
          <w:tcW w:w="4816" w:type="dxa"/>
          <w:tcBorders>
            <w:top w:val="single" w:sz="4" w:space="0" w:color="E30613" w:themeColor="background2"/>
          </w:tcBorders>
          <w:shd w:val="clear" w:color="auto" w:fill="auto"/>
        </w:tcPr>
        <w:p w:rsidR="00C53111" w:rsidRPr="00953929" w:rsidRDefault="00C53111" w:rsidP="0056655D">
          <w:pPr>
            <w:pStyle w:val="Footer"/>
            <w:jc w:val="right"/>
            <w:rPr>
              <w:sz w:val="8"/>
            </w:rPr>
          </w:pPr>
        </w:p>
        <w:p w:rsidR="00C53111" w:rsidRPr="005E6231" w:rsidRDefault="00C53111" w:rsidP="0056655D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6E3BC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B85370">
              <w:rPr>
                <w:noProof/>
              </w:rPr>
              <w:t>1</w:t>
            </w:r>
          </w:fldSimple>
        </w:p>
      </w:tc>
    </w:tr>
  </w:tbl>
  <w:p w:rsidR="00C53111" w:rsidRPr="00AD2C76" w:rsidRDefault="00C53111" w:rsidP="00C53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70" w:rsidRDefault="00B85370">
      <w:r>
        <w:separator/>
      </w:r>
    </w:p>
  </w:footnote>
  <w:footnote w:type="continuationSeparator" w:id="0">
    <w:p w:rsidR="00B85370" w:rsidRDefault="00B8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C3" w:rsidRPr="00BF77C3" w:rsidRDefault="006E3BC3" w:rsidP="006E3BC3"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6533B3B8" wp14:editId="0B8284FF">
          <wp:simplePos x="0" y="0"/>
          <wp:positionH relativeFrom="column">
            <wp:posOffset>5638165</wp:posOffset>
          </wp:positionH>
          <wp:positionV relativeFrom="paragraph">
            <wp:posOffset>191135</wp:posOffset>
          </wp:positionV>
          <wp:extent cx="786240" cy="1260000"/>
          <wp:effectExtent l="0" t="0" r="0" b="0"/>
          <wp:wrapNone/>
          <wp:docPr id="2" name="Picture 2" descr="../ICAEW_Logo_Kit%20part%201/Logo/ICAEW_Main_logo/Main%20logo%20screen/ICAEW_logo_BL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CAEW_Logo_Kit%20part%201/Logo/ICAEW_Main_logo/Main%20logo%20screen/ICAEW_logo_BLK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3" t="16851" r="22138" b="17215"/>
                  <a:stretch/>
                </pic:blipFill>
                <pic:spPr bwMode="auto">
                  <a:xfrm>
                    <a:off x="0" y="0"/>
                    <a:ext cx="78624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C3" w:rsidRPr="006E3BC3" w:rsidRDefault="006E3BC3" w:rsidP="006E3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CEB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70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AFB62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6525B7C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20AA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AC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CD8B4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7C8C4" w:themeColor="accent2"/>
      </w:rPr>
    </w:lvl>
  </w:abstractNum>
  <w:abstractNum w:abstractNumId="7" w15:restartNumberingAfterBreak="0">
    <w:nsid w:val="FFFFFF83"/>
    <w:multiLevelType w:val="singleLevel"/>
    <w:tmpl w:val="5E8CBC3A"/>
    <w:lvl w:ilvl="0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  <w:color w:val="E30613" w:themeColor="background2"/>
      </w:rPr>
    </w:lvl>
  </w:abstractNum>
  <w:abstractNum w:abstractNumId="8" w15:restartNumberingAfterBreak="0">
    <w:nsid w:val="FFFFFF88"/>
    <w:multiLevelType w:val="singleLevel"/>
    <w:tmpl w:val="78FA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613" w:themeColor="background2"/>
      </w:rPr>
    </w:lvl>
  </w:abstractNum>
  <w:abstractNum w:abstractNumId="10" w15:restartNumberingAfterBreak="0">
    <w:nsid w:val="0C304C0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A6E3F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2" w15:restartNumberingAfterBreak="0">
    <w:nsid w:val="18145F04"/>
    <w:multiLevelType w:val="multilevel"/>
    <w:tmpl w:val="6AC47156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4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2777336E"/>
    <w:multiLevelType w:val="hybridMultilevel"/>
    <w:tmpl w:val="543851E4"/>
    <w:lvl w:ilvl="0" w:tplc="F8A44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33537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8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66D414EE"/>
    <w:multiLevelType w:val="multilevel"/>
    <w:tmpl w:val="2BE094B4"/>
    <w:numStyleLink w:val="Bulletpoints"/>
  </w:abstractNum>
  <w:abstractNum w:abstractNumId="20" w15:restartNumberingAfterBreak="0">
    <w:nsid w:val="767A6F95"/>
    <w:multiLevelType w:val="multilevel"/>
    <w:tmpl w:val="6F18772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pStyle w:val="ListNumber2"/>
      <w:lvlText w:val="%2)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13" w:hanging="357"/>
      </w:pPr>
      <w:rPr>
        <w:rFonts w:hint="default"/>
      </w:rPr>
    </w:lvl>
  </w:abstractNum>
  <w:abstractNum w:abstractNumId="21" w15:restartNumberingAfterBreak="0">
    <w:nsid w:val="7C5A6C5D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18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20"/>
  </w:num>
  <w:num w:numId="10">
    <w:abstractNumId w:val="13"/>
  </w:num>
  <w:num w:numId="11">
    <w:abstractNumId w:val="19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9"/>
  </w:num>
  <w:num w:numId="17">
    <w:abstractNumId w:val="7"/>
  </w:num>
  <w:num w:numId="18">
    <w:abstractNumId w:val="20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 w:numId="23">
    <w:abstractNumId w:val="5"/>
  </w:num>
  <w:num w:numId="24">
    <w:abstractNumId w:val="4"/>
  </w:num>
  <w:num w:numId="25">
    <w:abstractNumId w:val="1"/>
  </w:num>
  <w:num w:numId="26">
    <w:abstractNumId w:val="0"/>
  </w:num>
  <w:num w:numId="27">
    <w:abstractNumId w:val="16"/>
  </w:num>
  <w:num w:numId="28">
    <w:abstractNumId w:val="16"/>
  </w:num>
  <w:num w:numId="29">
    <w:abstractNumId w:val="6"/>
  </w:num>
  <w:num w:numId="30">
    <w:abstractNumId w:val="20"/>
  </w:num>
  <w:num w:numId="31">
    <w:abstractNumId w:val="20"/>
  </w:num>
  <w:num w:numId="32">
    <w:abstractNumId w:val="20"/>
  </w:num>
  <w:num w:numId="33">
    <w:abstractNumId w:val="16"/>
  </w:num>
  <w:num w:numId="34">
    <w:abstractNumId w:val="13"/>
  </w:num>
  <w:num w:numId="35">
    <w:abstractNumId w:val="12"/>
  </w:num>
  <w:num w:numId="36">
    <w:abstractNumId w:val="12"/>
  </w:num>
  <w:num w:numId="37">
    <w:abstractNumId w:val="12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70"/>
    <w:rsid w:val="0000291A"/>
    <w:rsid w:val="00011714"/>
    <w:rsid w:val="0002207F"/>
    <w:rsid w:val="00022A49"/>
    <w:rsid w:val="00036B83"/>
    <w:rsid w:val="0004441E"/>
    <w:rsid w:val="00044F2A"/>
    <w:rsid w:val="000451D9"/>
    <w:rsid w:val="00046265"/>
    <w:rsid w:val="00046840"/>
    <w:rsid w:val="00047ED5"/>
    <w:rsid w:val="00055FB2"/>
    <w:rsid w:val="00060785"/>
    <w:rsid w:val="000665A5"/>
    <w:rsid w:val="00096107"/>
    <w:rsid w:val="00096FC2"/>
    <w:rsid w:val="000A6655"/>
    <w:rsid w:val="000C5154"/>
    <w:rsid w:val="000D353A"/>
    <w:rsid w:val="000E21C5"/>
    <w:rsid w:val="000E738D"/>
    <w:rsid w:val="00100726"/>
    <w:rsid w:val="00121C59"/>
    <w:rsid w:val="00122D1C"/>
    <w:rsid w:val="00125AF8"/>
    <w:rsid w:val="00131D9D"/>
    <w:rsid w:val="00132E24"/>
    <w:rsid w:val="00135EF5"/>
    <w:rsid w:val="00142C7B"/>
    <w:rsid w:val="0014394F"/>
    <w:rsid w:val="00170447"/>
    <w:rsid w:val="001859E0"/>
    <w:rsid w:val="00191962"/>
    <w:rsid w:val="00196302"/>
    <w:rsid w:val="001A3DD0"/>
    <w:rsid w:val="001A6D7B"/>
    <w:rsid w:val="001B1995"/>
    <w:rsid w:val="001B381C"/>
    <w:rsid w:val="001D16DD"/>
    <w:rsid w:val="001D4A17"/>
    <w:rsid w:val="001F0156"/>
    <w:rsid w:val="002043BD"/>
    <w:rsid w:val="00223027"/>
    <w:rsid w:val="002300F3"/>
    <w:rsid w:val="00231332"/>
    <w:rsid w:val="0023202B"/>
    <w:rsid w:val="00244E1E"/>
    <w:rsid w:val="002459BD"/>
    <w:rsid w:val="00262519"/>
    <w:rsid w:val="00266693"/>
    <w:rsid w:val="002673B6"/>
    <w:rsid w:val="00270CC3"/>
    <w:rsid w:val="00274DF6"/>
    <w:rsid w:val="002B3ACC"/>
    <w:rsid w:val="002B72FC"/>
    <w:rsid w:val="002C6D24"/>
    <w:rsid w:val="002D77F5"/>
    <w:rsid w:val="002F54B6"/>
    <w:rsid w:val="00301A7F"/>
    <w:rsid w:val="00322535"/>
    <w:rsid w:val="00351EE2"/>
    <w:rsid w:val="00371A42"/>
    <w:rsid w:val="003756B5"/>
    <w:rsid w:val="00375790"/>
    <w:rsid w:val="00380268"/>
    <w:rsid w:val="0039400A"/>
    <w:rsid w:val="003B183E"/>
    <w:rsid w:val="003C4D3E"/>
    <w:rsid w:val="003D27B7"/>
    <w:rsid w:val="003E2BE0"/>
    <w:rsid w:val="003F733A"/>
    <w:rsid w:val="004077FD"/>
    <w:rsid w:val="0042424F"/>
    <w:rsid w:val="00430E4E"/>
    <w:rsid w:val="00443D8F"/>
    <w:rsid w:val="00455DE7"/>
    <w:rsid w:val="0046302A"/>
    <w:rsid w:val="004633EB"/>
    <w:rsid w:val="004A452F"/>
    <w:rsid w:val="004A5AA0"/>
    <w:rsid w:val="004B3764"/>
    <w:rsid w:val="004C59F1"/>
    <w:rsid w:val="004D30D6"/>
    <w:rsid w:val="004F2309"/>
    <w:rsid w:val="004F41DD"/>
    <w:rsid w:val="004F799E"/>
    <w:rsid w:val="00501458"/>
    <w:rsid w:val="0050709E"/>
    <w:rsid w:val="005105E7"/>
    <w:rsid w:val="00523671"/>
    <w:rsid w:val="0052510B"/>
    <w:rsid w:val="005279C7"/>
    <w:rsid w:val="005459E1"/>
    <w:rsid w:val="0054793D"/>
    <w:rsid w:val="005617A0"/>
    <w:rsid w:val="005630D6"/>
    <w:rsid w:val="0057083A"/>
    <w:rsid w:val="005806CD"/>
    <w:rsid w:val="005A7E6A"/>
    <w:rsid w:val="005C0AF5"/>
    <w:rsid w:val="005D2263"/>
    <w:rsid w:val="005E2C23"/>
    <w:rsid w:val="005E76A8"/>
    <w:rsid w:val="00602D54"/>
    <w:rsid w:val="00635029"/>
    <w:rsid w:val="006547A7"/>
    <w:rsid w:val="006669C4"/>
    <w:rsid w:val="00692D4B"/>
    <w:rsid w:val="00696621"/>
    <w:rsid w:val="006A6639"/>
    <w:rsid w:val="006B6887"/>
    <w:rsid w:val="006C36DB"/>
    <w:rsid w:val="006D3ED7"/>
    <w:rsid w:val="006E3BC3"/>
    <w:rsid w:val="006E77C7"/>
    <w:rsid w:val="006F1F36"/>
    <w:rsid w:val="006F6EF8"/>
    <w:rsid w:val="00706FD2"/>
    <w:rsid w:val="00711119"/>
    <w:rsid w:val="007252B9"/>
    <w:rsid w:val="00772BFB"/>
    <w:rsid w:val="007869A1"/>
    <w:rsid w:val="007B37DD"/>
    <w:rsid w:val="007C4544"/>
    <w:rsid w:val="007C7F52"/>
    <w:rsid w:val="007D02FF"/>
    <w:rsid w:val="007D5BEC"/>
    <w:rsid w:val="00814B30"/>
    <w:rsid w:val="00835B22"/>
    <w:rsid w:val="0086003C"/>
    <w:rsid w:val="0086056D"/>
    <w:rsid w:val="00862066"/>
    <w:rsid w:val="00877929"/>
    <w:rsid w:val="00880DF2"/>
    <w:rsid w:val="00894D88"/>
    <w:rsid w:val="008D189F"/>
    <w:rsid w:val="008D21EA"/>
    <w:rsid w:val="008D252D"/>
    <w:rsid w:val="008D6BDF"/>
    <w:rsid w:val="008D7527"/>
    <w:rsid w:val="008E0C43"/>
    <w:rsid w:val="008E72F4"/>
    <w:rsid w:val="009454AA"/>
    <w:rsid w:val="00946C98"/>
    <w:rsid w:val="00951987"/>
    <w:rsid w:val="009533A0"/>
    <w:rsid w:val="0096735F"/>
    <w:rsid w:val="00967411"/>
    <w:rsid w:val="009759B7"/>
    <w:rsid w:val="00977180"/>
    <w:rsid w:val="0098049C"/>
    <w:rsid w:val="009865F8"/>
    <w:rsid w:val="00994736"/>
    <w:rsid w:val="009969D1"/>
    <w:rsid w:val="009C40A5"/>
    <w:rsid w:val="009D0157"/>
    <w:rsid w:val="009D0454"/>
    <w:rsid w:val="009D4FC8"/>
    <w:rsid w:val="009F1613"/>
    <w:rsid w:val="009F7766"/>
    <w:rsid w:val="00A0012D"/>
    <w:rsid w:val="00A1185D"/>
    <w:rsid w:val="00A13645"/>
    <w:rsid w:val="00A428AC"/>
    <w:rsid w:val="00A4660B"/>
    <w:rsid w:val="00A574DD"/>
    <w:rsid w:val="00A57C9F"/>
    <w:rsid w:val="00A7500C"/>
    <w:rsid w:val="00A814AF"/>
    <w:rsid w:val="00A828F0"/>
    <w:rsid w:val="00A95004"/>
    <w:rsid w:val="00A95355"/>
    <w:rsid w:val="00A96947"/>
    <w:rsid w:val="00AB4D8B"/>
    <w:rsid w:val="00AF091C"/>
    <w:rsid w:val="00AF4A0D"/>
    <w:rsid w:val="00B03BD7"/>
    <w:rsid w:val="00B1488D"/>
    <w:rsid w:val="00B22F3D"/>
    <w:rsid w:val="00B2678F"/>
    <w:rsid w:val="00B446CF"/>
    <w:rsid w:val="00B53EF6"/>
    <w:rsid w:val="00B60C4C"/>
    <w:rsid w:val="00B84DB6"/>
    <w:rsid w:val="00B85370"/>
    <w:rsid w:val="00B920DE"/>
    <w:rsid w:val="00BC303F"/>
    <w:rsid w:val="00BC3EAD"/>
    <w:rsid w:val="00BE639E"/>
    <w:rsid w:val="00BE6A6B"/>
    <w:rsid w:val="00BF77C3"/>
    <w:rsid w:val="00C01E89"/>
    <w:rsid w:val="00C04351"/>
    <w:rsid w:val="00C11997"/>
    <w:rsid w:val="00C225B9"/>
    <w:rsid w:val="00C24234"/>
    <w:rsid w:val="00C2430D"/>
    <w:rsid w:val="00C44E9A"/>
    <w:rsid w:val="00C53111"/>
    <w:rsid w:val="00C55667"/>
    <w:rsid w:val="00C64680"/>
    <w:rsid w:val="00C7048D"/>
    <w:rsid w:val="00C70E98"/>
    <w:rsid w:val="00C837C3"/>
    <w:rsid w:val="00C844B1"/>
    <w:rsid w:val="00C87E8D"/>
    <w:rsid w:val="00C90AC1"/>
    <w:rsid w:val="00C93B9C"/>
    <w:rsid w:val="00C94D19"/>
    <w:rsid w:val="00CB0BF5"/>
    <w:rsid w:val="00CC28A3"/>
    <w:rsid w:val="00CD5131"/>
    <w:rsid w:val="00D0057B"/>
    <w:rsid w:val="00D10BD3"/>
    <w:rsid w:val="00D2425D"/>
    <w:rsid w:val="00D353D0"/>
    <w:rsid w:val="00D359CF"/>
    <w:rsid w:val="00D45535"/>
    <w:rsid w:val="00D53A76"/>
    <w:rsid w:val="00D53BE4"/>
    <w:rsid w:val="00D57961"/>
    <w:rsid w:val="00D90AEE"/>
    <w:rsid w:val="00D94457"/>
    <w:rsid w:val="00DD5301"/>
    <w:rsid w:val="00E010F9"/>
    <w:rsid w:val="00E447FC"/>
    <w:rsid w:val="00E60A96"/>
    <w:rsid w:val="00E60B2C"/>
    <w:rsid w:val="00E951EB"/>
    <w:rsid w:val="00EA6075"/>
    <w:rsid w:val="00EA78CC"/>
    <w:rsid w:val="00EC4B79"/>
    <w:rsid w:val="00ED3D13"/>
    <w:rsid w:val="00EE2126"/>
    <w:rsid w:val="00EE6B2C"/>
    <w:rsid w:val="00EF421E"/>
    <w:rsid w:val="00EF7C74"/>
    <w:rsid w:val="00F019A3"/>
    <w:rsid w:val="00F1102D"/>
    <w:rsid w:val="00F1343A"/>
    <w:rsid w:val="00F238CD"/>
    <w:rsid w:val="00F30E8F"/>
    <w:rsid w:val="00F4732A"/>
    <w:rsid w:val="00F51095"/>
    <w:rsid w:val="00F53892"/>
    <w:rsid w:val="00F87665"/>
    <w:rsid w:val="00FA5F67"/>
    <w:rsid w:val="00FD10C3"/>
    <w:rsid w:val="00FD13E0"/>
    <w:rsid w:val="00FD1A9B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4151E72-701C-400C-9E12-47AB80E7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semiHidden="1" w:uiPriority="5" w:qFormat="1"/>
    <w:lsdException w:name="heading 5" w:semiHidden="1" w:unhideWhenUsed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8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F6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C53111"/>
    <w:pPr>
      <w:outlineLvl w:val="0"/>
    </w:pPr>
    <w:rPr>
      <w:rFonts w:ascii="Times New Roman" w:hAnsi="Times New Roman"/>
      <w:b/>
      <w:i/>
      <w:sz w:val="52"/>
      <w:szCs w:val="36"/>
    </w:rPr>
  </w:style>
  <w:style w:type="paragraph" w:styleId="Heading2">
    <w:name w:val="heading 2"/>
    <w:basedOn w:val="Tableheadings"/>
    <w:next w:val="Normal"/>
    <w:uiPriority w:val="3"/>
    <w:qFormat/>
    <w:rsid w:val="00DD5301"/>
    <w:pPr>
      <w:spacing w:before="360" w:after="220" w:line="240" w:lineRule="auto"/>
      <w:outlineLvl w:val="1"/>
    </w:pPr>
    <w:rPr>
      <w:color w:val="5F5F5F"/>
      <w:sz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F0156"/>
    <w:pPr>
      <w:spacing w:after="120" w:line="240" w:lineRule="auto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5"/>
    <w:qFormat/>
    <w:rsid w:val="00C53111"/>
    <w:pPr>
      <w:outlineLvl w:val="3"/>
    </w:pPr>
    <w:rPr>
      <w:color w:val="5E5E5E"/>
    </w:rPr>
  </w:style>
  <w:style w:type="paragraph" w:styleId="Heading5">
    <w:name w:val="heading 5"/>
    <w:basedOn w:val="Normal"/>
    <w:next w:val="Normal"/>
    <w:link w:val="Heading5Char"/>
    <w:semiHidden/>
    <w:qFormat/>
    <w:rsid w:val="00C53111"/>
    <w:pPr>
      <w:keepNext/>
      <w:keepLines/>
      <w:spacing w:before="40"/>
      <w:outlineLvl w:val="4"/>
    </w:pPr>
    <w:rPr>
      <w:rFonts w:eastAsiaTheme="majorEastAsia" w:cstheme="majorBidi"/>
      <w:b/>
      <w:bCs/>
      <w:color w:val="5E5E5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3111"/>
    <w:pPr>
      <w:tabs>
        <w:tab w:val="center" w:pos="4153"/>
        <w:tab w:val="right" w:pos="8306"/>
      </w:tabs>
    </w:pPr>
    <w:rPr>
      <w:caps/>
      <w:sz w:val="16"/>
    </w:rPr>
  </w:style>
  <w:style w:type="numbering" w:customStyle="1" w:styleId="Bulletpoints">
    <w:name w:val="Bullet points"/>
    <w:rsid w:val="00C53111"/>
    <w:pPr>
      <w:numPr>
        <w:numId w:val="10"/>
      </w:numPr>
    </w:pPr>
  </w:style>
  <w:style w:type="paragraph" w:styleId="Footer">
    <w:name w:val="footer"/>
    <w:basedOn w:val="Normal"/>
    <w:link w:val="FooterChar"/>
    <w:semiHidden/>
    <w:rsid w:val="001F0156"/>
    <w:pPr>
      <w:tabs>
        <w:tab w:val="center" w:pos="4320"/>
        <w:tab w:val="right" w:pos="8640"/>
      </w:tabs>
      <w:spacing w:line="240" w:lineRule="auto"/>
    </w:pPr>
    <w:rPr>
      <w:color w:val="595959" w:themeColor="text1" w:themeTint="A6"/>
      <w:sz w:val="16"/>
    </w:rPr>
  </w:style>
  <w:style w:type="paragraph" w:styleId="BalloonText">
    <w:name w:val="Balloon Text"/>
    <w:basedOn w:val="Normal"/>
    <w:semiHidden/>
    <w:rsid w:val="00C53111"/>
    <w:rPr>
      <w:rFonts w:ascii="Tahoma" w:hAnsi="Tahoma" w:cs="Tahoma"/>
      <w:sz w:val="16"/>
      <w:szCs w:val="16"/>
    </w:rPr>
  </w:style>
  <w:style w:type="paragraph" w:customStyle="1" w:styleId="Tableheadings">
    <w:name w:val="Table headings"/>
    <w:basedOn w:val="Normal"/>
    <w:uiPriority w:val="12"/>
    <w:qFormat/>
    <w:rsid w:val="001F0156"/>
    <w:rPr>
      <w:rFonts w:ascii="Arial Bold" w:hAnsi="Arial Bold" w:cs="Arial"/>
      <w:b/>
      <w:caps/>
      <w:color w:val="595959" w:themeColor="text1" w:themeTint="A6"/>
    </w:rPr>
  </w:style>
  <w:style w:type="character" w:styleId="PageNumber">
    <w:name w:val="page number"/>
    <w:basedOn w:val="DefaultParagraphFont"/>
    <w:semiHidden/>
    <w:rsid w:val="00B53EF6"/>
    <w:rPr>
      <w:rFonts w:ascii="Arial Bold" w:hAnsi="Arial Bold"/>
      <w:b/>
      <w:bCs/>
      <w:color w:val="595959" w:themeColor="text1" w:themeTint="A6"/>
      <w:sz w:val="16"/>
    </w:rPr>
  </w:style>
  <w:style w:type="character" w:styleId="Hyperlink">
    <w:name w:val="Hyperlink"/>
    <w:basedOn w:val="DefaultParagraphFont"/>
    <w:uiPriority w:val="17"/>
    <w:qFormat/>
    <w:rsid w:val="00C53111"/>
    <w:rPr>
      <w:rFonts w:ascii="Arial" w:hAnsi="Arial"/>
      <w:color w:val="E30613" w:themeColor="background2"/>
      <w:sz w:val="22"/>
      <w:u w:val="none" w:color="CC0000"/>
    </w:rPr>
  </w:style>
  <w:style w:type="paragraph" w:styleId="ListNumber">
    <w:name w:val="List Number"/>
    <w:basedOn w:val="Normal"/>
    <w:uiPriority w:val="9"/>
    <w:qFormat/>
    <w:rsid w:val="00C53111"/>
    <w:pPr>
      <w:numPr>
        <w:numId w:val="40"/>
      </w:numPr>
    </w:pPr>
  </w:style>
  <w:style w:type="table" w:customStyle="1" w:styleId="Table">
    <w:name w:val="Table"/>
    <w:basedOn w:val="TableNormal"/>
    <w:rsid w:val="00C53111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uiPriority w:val="10"/>
    <w:qFormat/>
    <w:rsid w:val="00C53111"/>
    <w:pPr>
      <w:numPr>
        <w:ilvl w:val="1"/>
        <w:numId w:val="40"/>
      </w:numPr>
      <w:contextualSpacing/>
    </w:pPr>
  </w:style>
  <w:style w:type="paragraph" w:styleId="ListNumber3">
    <w:name w:val="List Number 3"/>
    <w:basedOn w:val="Normal"/>
    <w:uiPriority w:val="11"/>
    <w:qFormat/>
    <w:rsid w:val="00C53111"/>
    <w:pPr>
      <w:numPr>
        <w:ilvl w:val="2"/>
        <w:numId w:val="40"/>
      </w:numPr>
      <w:contextualSpacing/>
    </w:pPr>
  </w:style>
  <w:style w:type="paragraph" w:styleId="ListBullet">
    <w:name w:val="List Bullet"/>
    <w:basedOn w:val="Normal"/>
    <w:uiPriority w:val="6"/>
    <w:qFormat/>
    <w:rsid w:val="00C53111"/>
    <w:pPr>
      <w:numPr>
        <w:numId w:val="37"/>
      </w:numPr>
      <w:contextualSpacing/>
    </w:pPr>
  </w:style>
  <w:style w:type="paragraph" w:styleId="BodyText">
    <w:name w:val="Body Text"/>
    <w:basedOn w:val="Normal"/>
    <w:link w:val="BodyTextChar"/>
    <w:qFormat/>
    <w:rsid w:val="00C53111"/>
  </w:style>
  <w:style w:type="character" w:customStyle="1" w:styleId="BodyTextChar">
    <w:name w:val="Body Text Char"/>
    <w:basedOn w:val="DefaultParagraphFont"/>
    <w:link w:val="BodyText"/>
    <w:rsid w:val="0004441E"/>
    <w:rPr>
      <w:rFonts w:ascii="Arial" w:hAnsi="Arial"/>
      <w:sz w:val="22"/>
      <w:szCs w:val="22"/>
    </w:rPr>
  </w:style>
  <w:style w:type="paragraph" w:styleId="ListBullet2">
    <w:name w:val="List Bullet 2"/>
    <w:basedOn w:val="Normal"/>
    <w:uiPriority w:val="7"/>
    <w:qFormat/>
    <w:rsid w:val="00C53111"/>
    <w:pPr>
      <w:numPr>
        <w:ilvl w:val="1"/>
        <w:numId w:val="37"/>
      </w:numPr>
      <w:contextualSpacing/>
    </w:pPr>
  </w:style>
  <w:style w:type="table" w:styleId="TableGrid">
    <w:name w:val="Table Grid"/>
    <w:basedOn w:val="TableNormal"/>
    <w:rsid w:val="00C5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qFormat/>
    <w:rsid w:val="00B53EF6"/>
    <w:pPr>
      <w:keepNext/>
      <w:keepLines/>
      <w:outlineLvl w:val="9"/>
    </w:pPr>
    <w:rPr>
      <w:rFonts w:ascii="Arial Bold" w:eastAsiaTheme="majorEastAsia" w:hAnsi="Arial Bold" w:cstheme="majorBidi"/>
      <w:bCs/>
      <w:i w:val="0"/>
      <w:caps/>
      <w:color w:val="595959" w:themeColor="text1" w:themeTint="A6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C53111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C53111"/>
    <w:pPr>
      <w:tabs>
        <w:tab w:val="right" w:leader="dot" w:pos="9631"/>
      </w:tabs>
      <w:spacing w:after="100"/>
    </w:pPr>
  </w:style>
  <w:style w:type="table" w:customStyle="1" w:styleId="ICAEWtable">
    <w:name w:val="ICAEW table"/>
    <w:basedOn w:val="TableNormal"/>
    <w:rsid w:val="00A1185D"/>
    <w:rPr>
      <w:rFonts w:ascii="Arial" w:hAnsi="Arial"/>
      <w:color w:val="000000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C53111"/>
    <w:pPr>
      <w:spacing w:before="120" w:after="120"/>
    </w:pPr>
    <w:rPr>
      <w:b/>
      <w:bCs/>
      <w:sz w:val="20"/>
      <w:szCs w:val="24"/>
      <w:lang w:eastAsia="en-US"/>
    </w:rPr>
  </w:style>
  <w:style w:type="paragraph" w:customStyle="1" w:styleId="Appendix">
    <w:name w:val="Appendix"/>
    <w:basedOn w:val="Normal"/>
    <w:next w:val="BodyText"/>
    <w:uiPriority w:val="14"/>
    <w:qFormat/>
    <w:rsid w:val="001F0156"/>
    <w:pPr>
      <w:numPr>
        <w:numId w:val="33"/>
      </w:numPr>
      <w:outlineLvl w:val="0"/>
    </w:pPr>
    <w:rPr>
      <w:rFonts w:cs="Arial"/>
      <w:caps/>
      <w:color w:val="595959" w:themeColor="text1" w:themeTint="A6"/>
      <w:sz w:val="28"/>
    </w:rPr>
  </w:style>
  <w:style w:type="paragraph" w:styleId="Title">
    <w:name w:val="Title"/>
    <w:basedOn w:val="Heading1"/>
    <w:next w:val="Normal"/>
    <w:link w:val="TitleChar"/>
    <w:uiPriority w:val="13"/>
    <w:qFormat/>
    <w:rsid w:val="006F1F36"/>
    <w:pPr>
      <w:spacing w:before="640" w:after="520"/>
      <w:ind w:right="1276"/>
      <w:contextualSpacing/>
      <w:outlineLvl w:val="9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6F1F36"/>
    <w:rPr>
      <w:rFonts w:eastAsiaTheme="majorEastAsia" w:cstheme="majorBidi"/>
      <w:b/>
      <w:i/>
      <w:spacing w:val="5"/>
      <w:kern w:val="28"/>
      <w:sz w:val="52"/>
      <w:szCs w:val="52"/>
    </w:rPr>
  </w:style>
  <w:style w:type="paragraph" w:styleId="ListBullet3">
    <w:name w:val="List Bullet 3"/>
    <w:basedOn w:val="Normal"/>
    <w:uiPriority w:val="8"/>
    <w:qFormat/>
    <w:rsid w:val="00C53111"/>
    <w:pPr>
      <w:numPr>
        <w:ilvl w:val="2"/>
        <w:numId w:val="37"/>
      </w:numPr>
      <w:contextualSpacing/>
    </w:pPr>
    <w:rPr>
      <w:rFonts w:cs="Arial"/>
    </w:rPr>
  </w:style>
  <w:style w:type="paragraph" w:styleId="TOC3">
    <w:name w:val="toc 3"/>
    <w:basedOn w:val="Normal"/>
    <w:next w:val="Normal"/>
    <w:autoRedefine/>
    <w:uiPriority w:val="39"/>
    <w:semiHidden/>
    <w:rsid w:val="00C53111"/>
    <w:pPr>
      <w:spacing w:after="100"/>
      <w:ind w:left="440"/>
    </w:pPr>
  </w:style>
  <w:style w:type="paragraph" w:customStyle="1" w:styleId="Notes">
    <w:name w:val="Notes"/>
    <w:basedOn w:val="Normal"/>
    <w:uiPriority w:val="15"/>
    <w:qFormat/>
    <w:rsid w:val="006A6639"/>
    <w:rPr>
      <w:i/>
      <w:sz w:val="16"/>
    </w:rPr>
  </w:style>
  <w:style w:type="table" w:styleId="Table3Deffects1">
    <w:name w:val="Table 3D effects 1"/>
    <w:basedOn w:val="TableNormal"/>
    <w:rsid w:val="006A66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ICAEWShadedtable">
    <w:name w:val="ICAEW Shaded table"/>
    <w:basedOn w:val="TableNormal"/>
    <w:uiPriority w:val="99"/>
    <w:rsid w:val="009D0157"/>
    <w:rPr>
      <w:rFonts w:ascii="Arial" w:hAnsi="Arial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C1C1C1"/>
    </w:tcPr>
  </w:style>
  <w:style w:type="character" w:customStyle="1" w:styleId="FooterChar">
    <w:name w:val="Footer Char"/>
    <w:basedOn w:val="DefaultParagraphFont"/>
    <w:link w:val="Footer"/>
    <w:semiHidden/>
    <w:rsid w:val="001F0156"/>
    <w:rPr>
      <w:rFonts w:ascii="Arial" w:hAnsi="Arial"/>
      <w:color w:val="595959" w:themeColor="text1" w:themeTint="A6"/>
      <w:sz w:val="16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04441E"/>
    <w:rPr>
      <w:rFonts w:ascii="Arial" w:hAnsi="Arial"/>
      <w:b/>
      <w:color w:val="5E5E5E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04441E"/>
    <w:rPr>
      <w:rFonts w:ascii="Arial" w:eastAsiaTheme="majorEastAsia" w:hAnsi="Arial" w:cstheme="majorBidi"/>
      <w:b/>
      <w:bCs/>
      <w:color w:val="5E5E5E"/>
      <w:szCs w:val="22"/>
    </w:rPr>
  </w:style>
  <w:style w:type="character" w:customStyle="1" w:styleId="Heading1Char">
    <w:name w:val="Heading 1 Char"/>
    <w:basedOn w:val="DefaultParagraphFont"/>
    <w:link w:val="Heading1"/>
    <w:semiHidden/>
    <w:rsid w:val="0004441E"/>
    <w:rPr>
      <w:b/>
      <w:i/>
      <w:sz w:val="52"/>
      <w:szCs w:val="36"/>
    </w:rPr>
  </w:style>
  <w:style w:type="character" w:customStyle="1" w:styleId="Heading3Char">
    <w:name w:val="Heading 3 Char"/>
    <w:basedOn w:val="DefaultParagraphFont"/>
    <w:link w:val="Heading3"/>
    <w:uiPriority w:val="4"/>
    <w:rsid w:val="001F0156"/>
    <w:rPr>
      <w:rFonts w:ascii="Arial" w:hAnsi="Arial"/>
      <w:b/>
      <w:sz w:val="22"/>
      <w:szCs w:val="22"/>
    </w:rPr>
  </w:style>
  <w:style w:type="table" w:customStyle="1" w:styleId="ICAEWtable1">
    <w:name w:val="ICAEW table1"/>
    <w:basedOn w:val="TableNormal"/>
    <w:uiPriority w:val="99"/>
    <w:rsid w:val="00A1185D"/>
    <w:tblPr/>
  </w:style>
  <w:style w:type="table" w:styleId="TableGridLight">
    <w:name w:val="Grid Table Light"/>
    <w:basedOn w:val="TableNormal"/>
    <w:uiPriority w:val="40"/>
    <w:rsid w:val="00B853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rporate%20office%20templates\ICAEW\ICAEW_Blank.dotm" TargetMode="External"/></Relationships>
</file>

<file path=word/theme/theme1.xml><?xml version="1.0" encoding="utf-8"?>
<a:theme xmlns:a="http://schemas.openxmlformats.org/drawingml/2006/main" name="Office Theme">
  <a:themeElements>
    <a:clrScheme name="ICAEW Office">
      <a:dk1>
        <a:srgbClr val="000000"/>
      </a:dk1>
      <a:lt1>
        <a:srgbClr val="FFFFFF"/>
      </a:lt1>
      <a:dk2>
        <a:srgbClr val="706F6F"/>
      </a:dk2>
      <a:lt2>
        <a:srgbClr val="E30613"/>
      </a:lt2>
      <a:accent1>
        <a:srgbClr val="C6CA91"/>
      </a:accent1>
      <a:accent2>
        <a:srgbClr val="A7C8C4"/>
      </a:accent2>
      <a:accent3>
        <a:srgbClr val="B1CFDF"/>
      </a:accent3>
      <a:accent4>
        <a:srgbClr val="DDC7D4"/>
      </a:accent4>
      <a:accent5>
        <a:srgbClr val="F1C09D"/>
      </a:accent5>
      <a:accent6>
        <a:srgbClr val="FFE8B6"/>
      </a:accent6>
      <a:hlink>
        <a:srgbClr val="D0C7C4"/>
      </a:hlink>
      <a:folHlink>
        <a:srgbClr val="70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DF79-4ADF-495A-A7CD-45782F00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ICAEW_Blank.dotm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ICAEW Blank</vt:lpstr>
    </vt:vector>
  </TitlesOfParts>
  <Company>ICAEW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ICAEW Blank</dc:title>
  <dc:creator>Claire Phillips</dc:creator>
  <cp:lastModifiedBy>Claire Phillips</cp:lastModifiedBy>
  <cp:revision>26</cp:revision>
  <cp:lastPrinted>2009-06-16T11:41:00Z</cp:lastPrinted>
  <dcterms:created xsi:type="dcterms:W3CDTF">2018-05-31T15:37:00Z</dcterms:created>
  <dcterms:modified xsi:type="dcterms:W3CDTF">2018-05-31T21:17:00Z</dcterms:modified>
</cp:coreProperties>
</file>